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53D171FB" w:rsidR="00CE5F5F" w:rsidRPr="00134038" w:rsidRDefault="000C63E6" w:rsidP="00CE5F5F">
      <w:pPr>
        <w:tabs>
          <w:tab w:val="right" w:pos="10000"/>
        </w:tabs>
        <w:spacing w:after="0"/>
        <w:rPr>
          <w:b/>
          <w:sz w:val="24"/>
          <w:szCs w:val="24"/>
        </w:rPr>
      </w:pPr>
      <w:r w:rsidRPr="00134038">
        <w:rPr>
          <w:b/>
          <w:sz w:val="24"/>
          <w:szCs w:val="24"/>
        </w:rPr>
        <w:t xml:space="preserve">3GPP TSG-RAN WG1 </w:t>
      </w:r>
      <w:r w:rsidR="006359E2">
        <w:rPr>
          <w:b/>
          <w:sz w:val="24"/>
          <w:szCs w:val="24"/>
        </w:rPr>
        <w:t>NR AdHoc</w:t>
      </w:r>
      <w:r w:rsidR="00CE5F5F" w:rsidRPr="00134038">
        <w:rPr>
          <w:b/>
          <w:sz w:val="24"/>
          <w:szCs w:val="24"/>
        </w:rPr>
        <w:t xml:space="preserve"> </w:t>
      </w:r>
      <w:r w:rsidR="00CE5F5F" w:rsidRPr="00134038">
        <w:rPr>
          <w:b/>
          <w:sz w:val="24"/>
          <w:szCs w:val="24"/>
        </w:rPr>
        <w:tab/>
      </w:r>
      <w:r w:rsidR="00346F99" w:rsidRPr="00134038">
        <w:rPr>
          <w:b/>
          <w:sz w:val="24"/>
          <w:szCs w:val="24"/>
        </w:rPr>
        <w:t>R1-</w:t>
      </w:r>
      <w:r w:rsidR="002D5B00">
        <w:rPr>
          <w:b/>
          <w:sz w:val="24"/>
          <w:szCs w:val="24"/>
        </w:rPr>
        <w:t>1710904</w:t>
      </w:r>
    </w:p>
    <w:p w14:paraId="6FE1FC1F" w14:textId="1C57990E" w:rsidR="00585668" w:rsidRPr="00134038" w:rsidRDefault="006359E2" w:rsidP="00585668">
      <w:pPr>
        <w:tabs>
          <w:tab w:val="right" w:pos="9630"/>
        </w:tabs>
        <w:spacing w:after="0"/>
        <w:jc w:val="both"/>
        <w:rPr>
          <w:b/>
          <w:sz w:val="24"/>
          <w:szCs w:val="24"/>
        </w:rPr>
      </w:pPr>
      <w:r>
        <w:rPr>
          <w:b/>
          <w:sz w:val="24"/>
          <w:szCs w:val="24"/>
        </w:rPr>
        <w:t>June</w:t>
      </w:r>
      <w:r w:rsidR="00585668" w:rsidRPr="00134038">
        <w:rPr>
          <w:b/>
          <w:sz w:val="24"/>
          <w:szCs w:val="24"/>
        </w:rPr>
        <w:t xml:space="preserve"> </w:t>
      </w:r>
      <w:r>
        <w:rPr>
          <w:b/>
          <w:sz w:val="24"/>
          <w:szCs w:val="24"/>
        </w:rPr>
        <w:t>2</w:t>
      </w:r>
      <w:r w:rsidR="00B24B4F">
        <w:rPr>
          <w:b/>
          <w:sz w:val="24"/>
          <w:szCs w:val="24"/>
        </w:rPr>
        <w:t>7</w:t>
      </w:r>
      <w:r w:rsidR="000C6DA6">
        <w:rPr>
          <w:b/>
          <w:sz w:val="24"/>
          <w:szCs w:val="24"/>
          <w:vertAlign w:val="superscript"/>
        </w:rPr>
        <w:t>th</w:t>
      </w:r>
      <w:r w:rsidR="00585668" w:rsidRPr="00134038">
        <w:rPr>
          <w:b/>
          <w:sz w:val="24"/>
          <w:szCs w:val="24"/>
        </w:rPr>
        <w:t xml:space="preserve"> – </w:t>
      </w:r>
      <w:r>
        <w:rPr>
          <w:b/>
          <w:sz w:val="24"/>
          <w:szCs w:val="24"/>
        </w:rPr>
        <w:t>30</w:t>
      </w:r>
      <w:r w:rsidR="00585668" w:rsidRPr="00134038">
        <w:rPr>
          <w:b/>
          <w:sz w:val="24"/>
          <w:szCs w:val="24"/>
          <w:vertAlign w:val="superscript"/>
        </w:rPr>
        <w:t>th</w:t>
      </w:r>
      <w:r w:rsidR="00585668" w:rsidRPr="00134038">
        <w:rPr>
          <w:b/>
          <w:sz w:val="24"/>
          <w:szCs w:val="24"/>
        </w:rPr>
        <w:t>, 2017</w:t>
      </w:r>
    </w:p>
    <w:p w14:paraId="2E426516" w14:textId="7D0E998F" w:rsidR="000C63E6" w:rsidRPr="00134038" w:rsidRDefault="00492562" w:rsidP="000C63E6">
      <w:pPr>
        <w:tabs>
          <w:tab w:val="right" w:pos="10000"/>
        </w:tabs>
        <w:spacing w:after="0"/>
        <w:rPr>
          <w:b/>
          <w:sz w:val="24"/>
          <w:szCs w:val="24"/>
        </w:rPr>
      </w:pPr>
      <w:r>
        <w:rPr>
          <w:b/>
          <w:sz w:val="24"/>
          <w:szCs w:val="24"/>
        </w:rPr>
        <w:t>Qingdao</w:t>
      </w:r>
      <w:r w:rsidR="00F902A5">
        <w:rPr>
          <w:b/>
          <w:sz w:val="24"/>
          <w:szCs w:val="24"/>
        </w:rPr>
        <w:t xml:space="preserve">, </w:t>
      </w:r>
      <w:r w:rsidR="00156D89">
        <w:rPr>
          <w:b/>
          <w:sz w:val="24"/>
          <w:szCs w:val="24"/>
        </w:rPr>
        <w:t>P.</w:t>
      </w:r>
      <w:r w:rsidR="007B0F05">
        <w:rPr>
          <w:b/>
          <w:sz w:val="24"/>
          <w:szCs w:val="24"/>
        </w:rPr>
        <w:t xml:space="preserve"> </w:t>
      </w:r>
      <w:r w:rsidR="00156D89">
        <w:rPr>
          <w:b/>
          <w:sz w:val="24"/>
          <w:szCs w:val="24"/>
        </w:rPr>
        <w:t>R.</w:t>
      </w:r>
      <w:r w:rsidR="007B0F05">
        <w:rPr>
          <w:b/>
          <w:sz w:val="24"/>
          <w:szCs w:val="24"/>
        </w:rPr>
        <w:t xml:space="preserve"> </w:t>
      </w:r>
      <w:r w:rsidR="00F902A5">
        <w:rPr>
          <w:b/>
          <w:sz w:val="24"/>
          <w:szCs w:val="24"/>
        </w:rPr>
        <w:t>China</w:t>
      </w:r>
    </w:p>
    <w:p w14:paraId="2F2D8718" w14:textId="77777777" w:rsidR="00CE5F5F" w:rsidRPr="00134038" w:rsidRDefault="00CE5F5F" w:rsidP="00CE5F5F">
      <w:pPr>
        <w:pStyle w:val="Footer"/>
        <w:jc w:val="both"/>
        <w:rPr>
          <w:rFonts w:ascii="Times New Roman" w:hAnsi="Times New Roman"/>
          <w:noProof w:val="0"/>
        </w:rPr>
      </w:pPr>
    </w:p>
    <w:p w14:paraId="00A480DC" w14:textId="75BD6A76" w:rsidR="00CE5F5F" w:rsidRPr="00134038" w:rsidRDefault="00CE5F5F" w:rsidP="00CE5F5F">
      <w:pPr>
        <w:tabs>
          <w:tab w:val="left" w:pos="1985"/>
        </w:tabs>
        <w:jc w:val="both"/>
        <w:rPr>
          <w:sz w:val="24"/>
        </w:rPr>
      </w:pPr>
      <w:r w:rsidRPr="00134038">
        <w:rPr>
          <w:b/>
          <w:sz w:val="24"/>
        </w:rPr>
        <w:t>Agenda item:</w:t>
      </w:r>
      <w:r w:rsidR="000C63E6" w:rsidRPr="00134038">
        <w:rPr>
          <w:sz w:val="24"/>
        </w:rPr>
        <w:tab/>
      </w:r>
      <w:r w:rsidR="009449AC">
        <w:rPr>
          <w:sz w:val="24"/>
        </w:rPr>
        <w:t>5</w:t>
      </w:r>
      <w:r w:rsidRPr="00134038">
        <w:rPr>
          <w:sz w:val="24"/>
        </w:rPr>
        <w:t>.1.</w:t>
      </w:r>
      <w:r w:rsidR="000F4A6B">
        <w:rPr>
          <w:sz w:val="24"/>
        </w:rPr>
        <w:t>8</w:t>
      </w:r>
    </w:p>
    <w:p w14:paraId="41F022EE" w14:textId="0EB83B71" w:rsidR="00CE5F5F" w:rsidRPr="00134038" w:rsidRDefault="00CE5F5F" w:rsidP="00CE5F5F">
      <w:pPr>
        <w:tabs>
          <w:tab w:val="left" w:pos="1985"/>
        </w:tabs>
        <w:jc w:val="both"/>
        <w:rPr>
          <w:sz w:val="24"/>
        </w:rPr>
      </w:pPr>
      <w:r w:rsidRPr="00134038">
        <w:rPr>
          <w:b/>
          <w:sz w:val="24"/>
        </w:rPr>
        <w:t xml:space="preserve">Source: </w:t>
      </w:r>
      <w:r w:rsidRPr="00134038">
        <w:rPr>
          <w:b/>
          <w:sz w:val="24"/>
        </w:rPr>
        <w:tab/>
      </w:r>
      <w:r w:rsidR="002B6237" w:rsidRPr="00134038">
        <w:rPr>
          <w:sz w:val="24"/>
        </w:rPr>
        <w:t>Apple</w:t>
      </w:r>
      <w:r w:rsidR="00FE31A3" w:rsidRPr="00134038">
        <w:rPr>
          <w:sz w:val="24"/>
        </w:rPr>
        <w:t xml:space="preserve"> Inc.</w:t>
      </w:r>
    </w:p>
    <w:p w14:paraId="1DA708F2" w14:textId="022D62C1" w:rsidR="0045039C" w:rsidRPr="00134038" w:rsidRDefault="0045039C" w:rsidP="0045039C">
      <w:pPr>
        <w:ind w:left="1988" w:hanging="1988"/>
        <w:rPr>
          <w:sz w:val="24"/>
        </w:rPr>
      </w:pPr>
      <w:r w:rsidRPr="00134038">
        <w:rPr>
          <w:b/>
          <w:sz w:val="28"/>
        </w:rPr>
        <w:t>Title:</w:t>
      </w:r>
      <w:r w:rsidRPr="00134038">
        <w:rPr>
          <w:sz w:val="28"/>
        </w:rPr>
        <w:t xml:space="preserve"> </w:t>
      </w:r>
      <w:r w:rsidRPr="00134038">
        <w:rPr>
          <w:sz w:val="24"/>
        </w:rPr>
        <w:tab/>
      </w:r>
      <w:r w:rsidR="006C1638">
        <w:rPr>
          <w:sz w:val="24"/>
        </w:rPr>
        <w:t xml:space="preserve">Uplink </w:t>
      </w:r>
      <w:r w:rsidR="00492562">
        <w:rPr>
          <w:sz w:val="24"/>
        </w:rPr>
        <w:t>transmission</w:t>
      </w:r>
      <w:r w:rsidR="006C1638">
        <w:rPr>
          <w:sz w:val="24"/>
        </w:rPr>
        <w:t xml:space="preserve"> in </w:t>
      </w:r>
      <w:r w:rsidR="00492562">
        <w:rPr>
          <w:sz w:val="24"/>
        </w:rPr>
        <w:t xml:space="preserve">NR </w:t>
      </w:r>
      <w:r w:rsidR="006C1638">
        <w:rPr>
          <w:sz w:val="24"/>
        </w:rPr>
        <w:t>NSA mode</w:t>
      </w:r>
    </w:p>
    <w:p w14:paraId="2C0EDD71" w14:textId="343E1CF9" w:rsidR="0045039C" w:rsidRPr="00134038" w:rsidRDefault="0045039C" w:rsidP="0045039C">
      <w:pPr>
        <w:ind w:left="1988" w:hanging="1988"/>
        <w:jc w:val="both"/>
        <w:rPr>
          <w:sz w:val="24"/>
        </w:rPr>
      </w:pPr>
      <w:r w:rsidRPr="00134038">
        <w:rPr>
          <w:b/>
          <w:sz w:val="24"/>
        </w:rPr>
        <w:t>Document for:</w:t>
      </w:r>
      <w:r w:rsidRPr="00134038">
        <w:rPr>
          <w:sz w:val="24"/>
        </w:rPr>
        <w:tab/>
        <w:t>Discussion/Decision</w:t>
      </w:r>
    </w:p>
    <w:p w14:paraId="031A1C66" w14:textId="709311F6" w:rsidR="001F2982" w:rsidRDefault="001F2982" w:rsidP="0088176C">
      <w:pPr>
        <w:pStyle w:val="Heading1"/>
        <w:rPr>
          <w:rFonts w:ascii="Times New Roman" w:hAnsi="Times New Roman"/>
          <w:sz w:val="40"/>
          <w:lang w:val="en-US"/>
        </w:rPr>
      </w:pPr>
      <w:r w:rsidRPr="00134038">
        <w:rPr>
          <w:rFonts w:ascii="Times New Roman" w:hAnsi="Times New Roman"/>
          <w:sz w:val="40"/>
          <w:lang w:val="en-US"/>
        </w:rPr>
        <w:t>Introduction</w:t>
      </w:r>
    </w:p>
    <w:p w14:paraId="03910819" w14:textId="696DF868" w:rsidR="00245159" w:rsidRDefault="006D2D7C" w:rsidP="00284E79">
      <w:pPr>
        <w:jc w:val="both"/>
      </w:pPr>
      <w:r>
        <w:t xml:space="preserve">It </w:t>
      </w:r>
      <w:r w:rsidR="005070CF">
        <w:t>was endorsed in RP</w:t>
      </w:r>
      <w:r w:rsidR="00F660ED">
        <w:t xml:space="preserve"> #75 (</w:t>
      </w:r>
      <w:r w:rsidR="00F660ED">
        <w:fldChar w:fldCharType="begin"/>
      </w:r>
      <w:r w:rsidR="00F660ED">
        <w:instrText xml:space="preserve"> REF _Ref485052628 \r \h </w:instrText>
      </w:r>
      <w:r w:rsidR="00F660ED">
        <w:fldChar w:fldCharType="separate"/>
      </w:r>
      <w:r w:rsidR="00106DF3">
        <w:t>[1]</w:t>
      </w:r>
      <w:r w:rsidR="00F660ED">
        <w:fldChar w:fldCharType="end"/>
      </w:r>
      <w:r w:rsidR="00F660ED">
        <w:t xml:space="preserve">, </w:t>
      </w:r>
      <w:r w:rsidR="00F660ED">
        <w:fldChar w:fldCharType="begin"/>
      </w:r>
      <w:r w:rsidR="00F660ED">
        <w:instrText xml:space="preserve"> REF _Ref485052638 \r \h </w:instrText>
      </w:r>
      <w:r w:rsidR="00F660ED">
        <w:fldChar w:fldCharType="separate"/>
      </w:r>
      <w:r w:rsidR="00106DF3">
        <w:t>[2]</w:t>
      </w:r>
      <w:r w:rsidR="00F660ED">
        <w:fldChar w:fldCharType="end"/>
      </w:r>
      <w:r w:rsidR="00DA5665">
        <w:t>)</w:t>
      </w:r>
      <w:r w:rsidR="00F660ED">
        <w:t xml:space="preserve"> that </w:t>
      </w:r>
      <w:r w:rsidR="00EA5629">
        <w:t xml:space="preserve">NR Rel.15 will prioritize the option 3 non-standalone (NSA) mode </w:t>
      </w:r>
      <w:r w:rsidR="00DA5665">
        <w:t xml:space="preserve">as the first phase of </w:t>
      </w:r>
      <w:r w:rsidR="00EA5629">
        <w:t xml:space="preserve">NR specification, </w:t>
      </w:r>
      <w:r w:rsidR="00DA5665">
        <w:t xml:space="preserve">in order </w:t>
      </w:r>
      <w:r w:rsidR="00EA5629">
        <w:t xml:space="preserve">to expedite the initial NR deployment. </w:t>
      </w:r>
      <w:r w:rsidR="0097090D">
        <w:t>The option 3 NSA mode, as shown in</w:t>
      </w:r>
      <w:r w:rsidR="00727E01">
        <w:t xml:space="preserve"> </w:t>
      </w:r>
      <w:r w:rsidR="00727E01">
        <w:fldChar w:fldCharType="begin"/>
      </w:r>
      <w:r w:rsidR="00727E01">
        <w:instrText xml:space="preserve"> REF _Ref485405908 \h </w:instrText>
      </w:r>
      <w:r w:rsidR="00727E01">
        <w:fldChar w:fldCharType="separate"/>
      </w:r>
      <w:r w:rsidR="00106DF3">
        <w:t xml:space="preserve">Figure </w:t>
      </w:r>
      <w:r w:rsidR="00106DF3">
        <w:rPr>
          <w:noProof/>
        </w:rPr>
        <w:t>1</w:t>
      </w:r>
      <w:r w:rsidR="00727E01">
        <w:fldChar w:fldCharType="end"/>
      </w:r>
      <w:r w:rsidR="0097090D">
        <w:t>, operates in inter-RAT dual connectivity, where the control plane signaling goes through</w:t>
      </w:r>
      <w:r w:rsidR="00C92230">
        <w:t xml:space="preserve"> LTE eNB</w:t>
      </w:r>
      <w:r w:rsidR="0040505A">
        <w:t xml:space="preserve"> and user plane payload can be sent through NR gNB</w:t>
      </w:r>
      <w:r w:rsidR="001B4C84">
        <w:t xml:space="preserve"> </w:t>
      </w:r>
      <w:r w:rsidR="00106DF3">
        <w:fldChar w:fldCharType="begin"/>
      </w:r>
      <w:r w:rsidR="00106DF3">
        <w:instrText xml:space="preserve"> REF _Ref485406401 \n \h </w:instrText>
      </w:r>
      <w:r w:rsidR="00106DF3">
        <w:fldChar w:fldCharType="separate"/>
      </w:r>
      <w:r w:rsidR="00106DF3">
        <w:t>[3]</w:t>
      </w:r>
      <w:r w:rsidR="00106DF3">
        <w:fldChar w:fldCharType="end"/>
      </w:r>
      <w:r w:rsidR="0040505A">
        <w:t>.</w:t>
      </w:r>
    </w:p>
    <w:p w14:paraId="103B52CA" w14:textId="53A72585" w:rsidR="00926B74" w:rsidRDefault="00D45187" w:rsidP="00727E01">
      <w:pPr>
        <w:jc w:val="center"/>
      </w:pPr>
      <w:r w:rsidRPr="00D45187">
        <w:drawing>
          <wp:inline distT="0" distB="0" distL="0" distR="0" wp14:anchorId="4E573CC0" wp14:editId="7C0B456D">
            <wp:extent cx="4882896" cy="13075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2896" cy="1307592"/>
                    </a:xfrm>
                    <a:prstGeom prst="rect">
                      <a:avLst/>
                    </a:prstGeom>
                  </pic:spPr>
                </pic:pic>
              </a:graphicData>
            </a:graphic>
          </wp:inline>
        </w:drawing>
      </w:r>
    </w:p>
    <w:p w14:paraId="4557E636" w14:textId="68A219A4" w:rsidR="00727E01" w:rsidRDefault="00727E01" w:rsidP="00727E01">
      <w:pPr>
        <w:pStyle w:val="Caption"/>
        <w:jc w:val="center"/>
      </w:pPr>
      <w:bookmarkStart w:id="0" w:name="_Ref485405908"/>
      <w:r>
        <w:t xml:space="preserve">Figure </w:t>
      </w:r>
      <w:fldSimple w:instr=" SEQ Figure \* ARABIC ">
        <w:r w:rsidR="00106DF3">
          <w:rPr>
            <w:noProof/>
          </w:rPr>
          <w:t>1</w:t>
        </w:r>
      </w:fldSimple>
      <w:bookmarkEnd w:id="0"/>
      <w:r>
        <w:t xml:space="preserve">  5G NSA RAN architecture 3 and 3A</w:t>
      </w:r>
    </w:p>
    <w:p w14:paraId="6DF04F17" w14:textId="23B50936" w:rsidR="00245159" w:rsidRDefault="0040505A" w:rsidP="00284E79">
      <w:pPr>
        <w:jc w:val="both"/>
      </w:pPr>
      <w:r>
        <w:t xml:space="preserve">As explained in </w:t>
      </w:r>
      <w:r w:rsidR="00DD55DB">
        <w:fldChar w:fldCharType="begin"/>
      </w:r>
      <w:r w:rsidR="00DD55DB">
        <w:instrText xml:space="preserve"> REF _Ref485064906 \r \h </w:instrText>
      </w:r>
      <w:r w:rsidR="00DD55DB">
        <w:fldChar w:fldCharType="separate"/>
      </w:r>
      <w:r w:rsidR="00106DF3">
        <w:t>[4]</w:t>
      </w:r>
      <w:r w:rsidR="00DD55DB">
        <w:fldChar w:fldCharType="end"/>
      </w:r>
      <w:r w:rsidR="00DD55DB">
        <w:fldChar w:fldCharType="begin"/>
      </w:r>
      <w:r w:rsidR="00DD55DB">
        <w:instrText xml:space="preserve"> REF _Ref485064908 \r \h </w:instrText>
      </w:r>
      <w:r w:rsidR="00DD55DB">
        <w:fldChar w:fldCharType="separate"/>
      </w:r>
      <w:r w:rsidR="00106DF3">
        <w:t>[5]</w:t>
      </w:r>
      <w:r w:rsidR="00DD55DB">
        <w:fldChar w:fldCharType="end"/>
      </w:r>
      <w:r w:rsidR="00DD55DB">
        <w:fldChar w:fldCharType="begin"/>
      </w:r>
      <w:r w:rsidR="00DD55DB">
        <w:instrText xml:space="preserve"> REF _Ref481669506 \r \h </w:instrText>
      </w:r>
      <w:r w:rsidR="00DD55DB">
        <w:fldChar w:fldCharType="separate"/>
      </w:r>
      <w:r w:rsidR="00106DF3">
        <w:t>[11]</w:t>
      </w:r>
      <w:r w:rsidR="00DD55DB">
        <w:fldChar w:fldCharType="end"/>
      </w:r>
      <w:r w:rsidR="00DA5665">
        <w:t>, depending on the band combinations, sending two concurrent uplinks in two different bands can produce undesirable inter-modulations that degrade</w:t>
      </w:r>
      <w:r w:rsidR="00705CBC">
        <w:t>s</w:t>
      </w:r>
      <w:r w:rsidR="00DA5665">
        <w:t xml:space="preserve"> UE’s </w:t>
      </w:r>
      <w:r w:rsidR="00705CBC">
        <w:t xml:space="preserve">RX </w:t>
      </w:r>
      <w:r w:rsidR="00DA5665">
        <w:t>sensitivity. This creates challenges in UE RF implementations</w:t>
      </w:r>
      <w:r w:rsidR="00705CBC">
        <w:t>. In</w:t>
      </w:r>
      <w:r w:rsidR="00705CBC" w:rsidRPr="00DD55BB">
        <w:t xml:space="preserve"> </w:t>
      </w:r>
      <w:r w:rsidR="00374372" w:rsidRPr="00DD55BB">
        <w:t>order</w:t>
      </w:r>
      <w:r w:rsidR="005E217B">
        <w:t xml:space="preserve"> </w:t>
      </w:r>
      <w:r w:rsidR="00705CBC" w:rsidRPr="00DD55BB">
        <w:t xml:space="preserve">to </w:t>
      </w:r>
      <w:r w:rsidR="005E217B">
        <w:t>avoid</w:t>
      </w:r>
      <w:r w:rsidR="00705CBC" w:rsidRPr="00DD55BB">
        <w:t xml:space="preserve"> serious receiver sensitivity degradations on </w:t>
      </w:r>
      <w:r w:rsidR="00705CBC">
        <w:t>any</w:t>
      </w:r>
      <w:r w:rsidR="00705CBC" w:rsidRPr="00DD55BB">
        <w:t xml:space="preserve"> agreed LTE/NR band combinations, it is imperative that some other mechanisms to be specified in Rel-15 NR work item phase </w:t>
      </w:r>
      <w:r w:rsidR="00705CBC">
        <w:t>to avoid simultaneous LTE and NR uplink transmissions from a single UE perspective</w:t>
      </w:r>
      <w:r w:rsidR="007F5459">
        <w:t xml:space="preserve"> when such issue</w:t>
      </w:r>
      <w:r w:rsidR="00C66BD9">
        <w:t xml:space="preserve"> occur</w:t>
      </w:r>
      <w:r w:rsidR="007F5459">
        <w:t>s</w:t>
      </w:r>
      <w:r w:rsidR="00705CBC">
        <w:t>.</w:t>
      </w:r>
    </w:p>
    <w:p w14:paraId="3C639F0F" w14:textId="7E206740" w:rsidR="00C66BD9" w:rsidRDefault="00C66BD9" w:rsidP="00284E79">
      <w:pPr>
        <w:jc w:val="both"/>
      </w:pPr>
      <w:r>
        <w:t>Specifically, an agreement was made in RAN1 #89</w:t>
      </w:r>
      <w:r w:rsidR="00CD28E7">
        <w:t xml:space="preserve"> to </w:t>
      </w:r>
      <w:r w:rsidR="00AD72A4">
        <w:t>support</w:t>
      </w:r>
      <w:r w:rsidR="00CD28E7">
        <w:t xml:space="preserve"> an </w:t>
      </w:r>
      <w:r w:rsidR="00CD28E7" w:rsidRPr="003877B9">
        <w:rPr>
          <w:i/>
        </w:rPr>
        <w:t>optional</w:t>
      </w:r>
      <w:r w:rsidR="00CD28E7">
        <w:t xml:space="preserve"> mode so that network can configure the </w:t>
      </w:r>
      <w:r w:rsidR="007F5459">
        <w:t xml:space="preserve">NSA mode </w:t>
      </w:r>
      <w:r w:rsidR="00CD28E7">
        <w:t xml:space="preserve">UE to </w:t>
      </w:r>
      <w:r w:rsidR="00AD72A4">
        <w:t xml:space="preserve">avoid simultaneously </w:t>
      </w:r>
      <w:r w:rsidR="00CD28E7">
        <w:t>transmit</w:t>
      </w:r>
      <w:r w:rsidR="004C3D4D">
        <w:t>ting</w:t>
      </w:r>
      <w:r w:rsidR="00CD28E7">
        <w:t xml:space="preserve"> on </w:t>
      </w:r>
      <w:r w:rsidR="00AD72A4">
        <w:t>two</w:t>
      </w:r>
      <w:r w:rsidR="00CD28E7">
        <w:t xml:space="preserve"> carrier</w:t>
      </w:r>
      <w:r w:rsidR="00AD72A4">
        <w:t>s</w:t>
      </w:r>
      <w:r w:rsidR="003877B9">
        <w:t xml:space="preserve"> </w:t>
      </w:r>
      <w:r w:rsidR="007F5459" w:rsidRPr="003877B9">
        <w:rPr>
          <w:i/>
        </w:rPr>
        <w:t xml:space="preserve">when </w:t>
      </w:r>
      <w:r w:rsidR="002C58F2">
        <w:rPr>
          <w:i/>
        </w:rPr>
        <w:t>su</w:t>
      </w:r>
      <w:r w:rsidR="001671E9">
        <w:rPr>
          <w:i/>
        </w:rPr>
        <w:t>ch self-interference exists</w:t>
      </w:r>
      <w:r w:rsidR="00EE3640">
        <w:t>:</w:t>
      </w:r>
    </w:p>
    <w:p w14:paraId="501463CE" w14:textId="77777777" w:rsidR="00EE3640" w:rsidRPr="00E330EE" w:rsidRDefault="00EE3640" w:rsidP="00EE3640">
      <w:r w:rsidRPr="00E330EE">
        <w:rPr>
          <w:highlight w:val="green"/>
        </w:rPr>
        <w:t>Agreements</w:t>
      </w:r>
      <w:r w:rsidRPr="00E330EE">
        <w:t>:</w:t>
      </w:r>
    </w:p>
    <w:p w14:paraId="3945C435" w14:textId="77777777" w:rsidR="00EE3640" w:rsidRPr="00E330EE" w:rsidRDefault="00EE3640" w:rsidP="00EE3640">
      <w:pPr>
        <w:numPr>
          <w:ilvl w:val="0"/>
          <w:numId w:val="20"/>
        </w:numPr>
        <w:overflowPunct/>
        <w:autoSpaceDE/>
        <w:autoSpaceDN/>
        <w:adjustRightInd/>
        <w:spacing w:after="0"/>
        <w:textAlignment w:val="auto"/>
        <w:rPr>
          <w:rFonts w:eastAsia="ＭＳ 明朝"/>
          <w:lang w:eastAsia="ja-JP"/>
        </w:rPr>
      </w:pPr>
      <w:r w:rsidRPr="00E330EE">
        <w:rPr>
          <w:rFonts w:eastAsia="ＭＳ 明朝"/>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14:paraId="4484EE16" w14:textId="77777777" w:rsidR="00EE3640" w:rsidRPr="00E330EE" w:rsidRDefault="00EE3640" w:rsidP="00EE3640">
      <w:pPr>
        <w:numPr>
          <w:ilvl w:val="1"/>
          <w:numId w:val="20"/>
        </w:numPr>
        <w:overflowPunct/>
        <w:autoSpaceDE/>
        <w:autoSpaceDN/>
        <w:adjustRightInd/>
        <w:spacing w:after="0"/>
        <w:textAlignment w:val="auto"/>
        <w:rPr>
          <w:rFonts w:eastAsia="ＭＳ 明朝"/>
          <w:lang w:eastAsia="ja-JP"/>
        </w:rPr>
      </w:pPr>
      <w:r w:rsidRPr="00E330EE">
        <w:rPr>
          <w:rFonts w:eastAsia="ＭＳ 明朝"/>
          <w:lang w:eastAsia="ja-JP"/>
        </w:rPr>
        <w:t>FFS whether or not there is specification impact</w:t>
      </w:r>
    </w:p>
    <w:p w14:paraId="3AAE8AC0" w14:textId="77777777" w:rsidR="00EE3640" w:rsidRPr="00E330EE" w:rsidRDefault="00EE3640" w:rsidP="00EE3640">
      <w:pPr>
        <w:numPr>
          <w:ilvl w:val="2"/>
          <w:numId w:val="20"/>
        </w:numPr>
        <w:overflowPunct/>
        <w:autoSpaceDE/>
        <w:autoSpaceDN/>
        <w:adjustRightInd/>
        <w:spacing w:after="0"/>
        <w:textAlignment w:val="auto"/>
        <w:rPr>
          <w:rFonts w:eastAsia="ＭＳ 明朝"/>
          <w:lang w:eastAsia="ja-JP"/>
        </w:rPr>
      </w:pPr>
      <w:r w:rsidRPr="00E330EE">
        <w:rPr>
          <w:rFonts w:eastAsia="ＭＳ 明朝"/>
          <w:lang w:eastAsia="ja-JP"/>
        </w:rPr>
        <w:t>If there is RAN1 specification impact, aim to minimize the specification impact for NR</w:t>
      </w:r>
    </w:p>
    <w:p w14:paraId="550DA989" w14:textId="77777777" w:rsidR="00EE3640" w:rsidRPr="00E330EE" w:rsidRDefault="00EE3640" w:rsidP="00EE3640">
      <w:pPr>
        <w:numPr>
          <w:ilvl w:val="2"/>
          <w:numId w:val="20"/>
        </w:numPr>
        <w:overflowPunct/>
        <w:autoSpaceDE/>
        <w:autoSpaceDN/>
        <w:adjustRightInd/>
        <w:spacing w:after="0"/>
        <w:textAlignment w:val="auto"/>
        <w:rPr>
          <w:rFonts w:eastAsia="ＭＳ 明朝"/>
          <w:lang w:eastAsia="ja-JP"/>
        </w:rPr>
      </w:pPr>
      <w:r w:rsidRPr="00E330EE">
        <w:rPr>
          <w:rFonts w:eastAsia="ＭＳ 明朝"/>
          <w:lang w:eastAsia="ja-JP"/>
        </w:rPr>
        <w:t xml:space="preserve">Note: this feature by itself is not intended to have any LTE RAN1 specification impact </w:t>
      </w:r>
    </w:p>
    <w:p w14:paraId="082DD90B" w14:textId="77777777" w:rsidR="00EE3640" w:rsidRPr="00E330EE" w:rsidRDefault="00EE3640" w:rsidP="00EE3640">
      <w:pPr>
        <w:numPr>
          <w:ilvl w:val="1"/>
          <w:numId w:val="20"/>
        </w:numPr>
        <w:overflowPunct/>
        <w:autoSpaceDE/>
        <w:autoSpaceDN/>
        <w:adjustRightInd/>
        <w:spacing w:after="0"/>
        <w:textAlignment w:val="auto"/>
        <w:rPr>
          <w:rFonts w:eastAsia="ＭＳ 明朝"/>
          <w:lang w:eastAsia="ja-JP"/>
        </w:rPr>
      </w:pPr>
      <w:r w:rsidRPr="00E330EE">
        <w:rPr>
          <w:rFonts w:eastAsia="ＭＳ 明朝"/>
          <w:lang w:eastAsia="ja-JP"/>
        </w:rPr>
        <w:t>Note: the other case of allowing simultaneous operation on two or more UL carriers is already agreed to be supported</w:t>
      </w:r>
    </w:p>
    <w:p w14:paraId="2C041F0B" w14:textId="77777777" w:rsidR="00EE3640" w:rsidRDefault="00EE3640" w:rsidP="00284E79">
      <w:pPr>
        <w:jc w:val="both"/>
      </w:pPr>
    </w:p>
    <w:p w14:paraId="4889AE77" w14:textId="3CCEE58F" w:rsidR="00945157" w:rsidRDefault="003877B9" w:rsidP="00B127BB">
      <w:pPr>
        <w:jc w:val="both"/>
      </w:pPr>
      <w:r>
        <w:t>However, it is remains open the specific solution</w:t>
      </w:r>
      <w:r w:rsidR="004D5747">
        <w:t>/mechanism</w:t>
      </w:r>
      <w:r>
        <w:t xml:space="preserve"> to achieve such inter-RAT dual connectivity, while avoiding the simulta</w:t>
      </w:r>
      <w:r w:rsidR="00FD161F">
        <w:t>neous uplink transmission on different frequencies.</w:t>
      </w:r>
      <w:r w:rsidR="004D5747">
        <w:t xml:space="preserve"> In </w:t>
      </w:r>
      <w:r w:rsidR="004D5747">
        <w:fldChar w:fldCharType="begin"/>
      </w:r>
      <w:r w:rsidR="004D5747">
        <w:instrText xml:space="preserve"> REF _Ref485064906 \r \h </w:instrText>
      </w:r>
      <w:r w:rsidR="00B127BB">
        <w:instrText xml:space="preserve"> \* MERGEFORMAT </w:instrText>
      </w:r>
      <w:r w:rsidR="004D5747">
        <w:fldChar w:fldCharType="separate"/>
      </w:r>
      <w:r w:rsidR="00106DF3">
        <w:t>[4]</w:t>
      </w:r>
      <w:r w:rsidR="004D5747">
        <w:fldChar w:fldCharType="end"/>
      </w:r>
      <w:r w:rsidR="004D5747">
        <w:t>, a few po</w:t>
      </w:r>
      <w:r w:rsidR="002D12D4">
        <w:t>ssibl</w:t>
      </w:r>
      <w:r w:rsidR="00C95294">
        <w:t xml:space="preserve">e solutions were described, including the physical layer multiplexing as well as the MAC layer multiplexing approaches. </w:t>
      </w:r>
    </w:p>
    <w:p w14:paraId="09D2B965" w14:textId="09C2A558" w:rsidR="000B5050" w:rsidRDefault="000B5050" w:rsidP="00B127BB">
      <w:pPr>
        <w:jc w:val="both"/>
      </w:pPr>
      <w:r>
        <w:lastRenderedPageBreak/>
        <w:t>It should be emphasized that the issue is mainly related to UE uplink transmission, thus the various solutions discussed in this contribution only apply to the uplink transmission. The downlink transmission/reception of the two RATs can still be simultaneous over the LTE DL and NR DL frequencies, respectively.</w:t>
      </w:r>
    </w:p>
    <w:p w14:paraId="0CA31B78" w14:textId="7BB42120" w:rsidR="00CC59E2" w:rsidRPr="001C7AD9" w:rsidRDefault="00FF65EA" w:rsidP="00B127BB">
      <w:pPr>
        <w:jc w:val="both"/>
      </w:pPr>
      <w:r>
        <w:t xml:space="preserve">In this contribution, we </w:t>
      </w:r>
      <w:r w:rsidR="00C95294">
        <w:t xml:space="preserve">provide further analysis on the remaining issues as well as </w:t>
      </w:r>
      <w:r w:rsidR="00945157">
        <w:t xml:space="preserve">potential </w:t>
      </w:r>
      <w:r w:rsidR="00C95294">
        <w:t xml:space="preserve">specification impacts </w:t>
      </w:r>
      <w:r w:rsidR="00107DD6">
        <w:t>associated with</w:t>
      </w:r>
      <w:r w:rsidR="00C95294">
        <w:t xml:space="preserve"> those solutions, respectively</w:t>
      </w:r>
      <w:r w:rsidR="00261A31">
        <w:t>.</w:t>
      </w:r>
      <w:r w:rsidR="00C95294">
        <w:t xml:space="preserve"> Hopefully, RAN1 can quickly narrow down to a concrete recommendation, and then LS can be sent to the other working groups to</w:t>
      </w:r>
      <w:r w:rsidR="008143A3">
        <w:t xml:space="preserve"> proceed</w:t>
      </w:r>
      <w:r w:rsidR="00C95294">
        <w:t>.</w:t>
      </w:r>
    </w:p>
    <w:p w14:paraId="5AB64EA8" w14:textId="1ADFB44E" w:rsidR="00BC6EA6" w:rsidRDefault="008C593B" w:rsidP="00FF65EA">
      <w:pPr>
        <w:pStyle w:val="Heading1"/>
      </w:pPr>
      <w:bookmarkStart w:id="1" w:name="_Ref485320695"/>
      <w:r>
        <w:t xml:space="preserve">Physical layer </w:t>
      </w:r>
      <w:r w:rsidR="00CB3DA5">
        <w:t xml:space="preserve">uplink </w:t>
      </w:r>
      <w:r>
        <w:t>TDM approach</w:t>
      </w:r>
      <w:bookmarkEnd w:id="1"/>
    </w:p>
    <w:p w14:paraId="3CDAC731" w14:textId="4E39EC55" w:rsidR="008C593B" w:rsidRDefault="00012E0F" w:rsidP="00B127BB">
      <w:pPr>
        <w:jc w:val="both"/>
        <w:rPr>
          <w:lang w:val="en-GB"/>
        </w:rPr>
      </w:pPr>
      <w:r>
        <w:rPr>
          <w:lang w:val="en-GB"/>
        </w:rPr>
        <w:t>The TDM approach</w:t>
      </w:r>
      <w:r w:rsidR="00440089">
        <w:rPr>
          <w:lang w:val="en-GB"/>
        </w:rPr>
        <w:t>, as illustrated in</w:t>
      </w:r>
      <w:r w:rsidR="00582202">
        <w:rPr>
          <w:lang w:val="en-GB"/>
        </w:rPr>
        <w:t xml:space="preserve"> </w:t>
      </w:r>
      <w:r w:rsidR="003038D0">
        <w:rPr>
          <w:lang w:val="en-GB"/>
        </w:rPr>
        <w:fldChar w:fldCharType="begin"/>
      </w:r>
      <w:r w:rsidR="003038D0">
        <w:rPr>
          <w:lang w:val="en-GB"/>
        </w:rPr>
        <w:instrText xml:space="preserve"> REF _Ref485377245 \h </w:instrText>
      </w:r>
      <w:r w:rsidR="003038D0">
        <w:rPr>
          <w:lang w:val="en-GB"/>
        </w:rPr>
      </w:r>
      <w:r w:rsidR="003038D0">
        <w:rPr>
          <w:lang w:val="en-GB"/>
        </w:rPr>
        <w:fldChar w:fldCharType="separate"/>
      </w:r>
      <w:r w:rsidR="00106DF3">
        <w:t xml:space="preserve">Figure </w:t>
      </w:r>
      <w:r w:rsidR="00106DF3">
        <w:rPr>
          <w:noProof/>
        </w:rPr>
        <w:t>2</w:t>
      </w:r>
      <w:r w:rsidR="003038D0">
        <w:rPr>
          <w:lang w:val="en-GB"/>
        </w:rPr>
        <w:fldChar w:fldCharType="end"/>
      </w:r>
      <w:r w:rsidR="00440089">
        <w:rPr>
          <w:lang w:val="en-GB"/>
        </w:rPr>
        <w:t>, i</w:t>
      </w:r>
      <w:r w:rsidR="00057237">
        <w:rPr>
          <w:lang w:val="en-GB"/>
        </w:rPr>
        <w:t xml:space="preserve">s conceptually straightforward. The control plane signalling and user plane data go through individual LTE/NR protocol stacks separately, and only multiplexed at physical layer in resolution of sub-frames (slots). A prerequisite is the </w:t>
      </w:r>
      <w:r w:rsidR="00A16B37">
        <w:rPr>
          <w:i/>
          <w:lang w:val="en-GB"/>
        </w:rPr>
        <w:t>eNB and gNB are</w:t>
      </w:r>
      <w:r w:rsidR="00057237" w:rsidRPr="00A16B37">
        <w:rPr>
          <w:i/>
          <w:lang w:val="en-GB"/>
        </w:rPr>
        <w:t xml:space="preserve"> synchronized</w:t>
      </w:r>
      <w:r w:rsidR="00057237">
        <w:rPr>
          <w:lang w:val="en-GB"/>
        </w:rPr>
        <w:t xml:space="preserve">, which is typically achievable if we assume the eNB and gNB are co-located. </w:t>
      </w:r>
    </w:p>
    <w:p w14:paraId="07CDB367" w14:textId="1472DAF2" w:rsidR="00E5146B" w:rsidRDefault="00057237" w:rsidP="008F0473">
      <w:pPr>
        <w:jc w:val="center"/>
        <w:rPr>
          <w:lang w:val="en-GB"/>
        </w:rPr>
      </w:pPr>
      <w:r w:rsidRPr="00057237">
        <w:rPr>
          <w:noProof/>
        </w:rPr>
        <w:drawing>
          <wp:inline distT="0" distB="0" distL="0" distR="0" wp14:anchorId="15463ED2" wp14:editId="6BDF1540">
            <wp:extent cx="2203704" cy="2834640"/>
            <wp:effectExtent l="0" t="0" r="635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03704" cy="2834640"/>
                    </a:xfrm>
                    <a:prstGeom prst="rect">
                      <a:avLst/>
                    </a:prstGeom>
                  </pic:spPr>
                </pic:pic>
              </a:graphicData>
            </a:graphic>
          </wp:inline>
        </w:drawing>
      </w:r>
    </w:p>
    <w:p w14:paraId="7370FF2F" w14:textId="3EC4240C" w:rsidR="00057237" w:rsidRDefault="00057237" w:rsidP="00057237">
      <w:pPr>
        <w:pStyle w:val="Caption"/>
        <w:jc w:val="center"/>
      </w:pPr>
      <w:bookmarkStart w:id="2" w:name="_Ref485377245"/>
      <w:r>
        <w:t xml:space="preserve">Figure </w:t>
      </w:r>
      <w:r w:rsidR="008741E3">
        <w:fldChar w:fldCharType="begin"/>
      </w:r>
      <w:r w:rsidR="008741E3">
        <w:instrText xml:space="preserve"> SEQ Figure \* ARABIC </w:instrText>
      </w:r>
      <w:r w:rsidR="008741E3">
        <w:fldChar w:fldCharType="separate"/>
      </w:r>
      <w:r w:rsidR="00106DF3">
        <w:rPr>
          <w:noProof/>
        </w:rPr>
        <w:t>2</w:t>
      </w:r>
      <w:r w:rsidR="008741E3">
        <w:rPr>
          <w:noProof/>
        </w:rPr>
        <w:fldChar w:fldCharType="end"/>
      </w:r>
      <w:bookmarkEnd w:id="2"/>
      <w:r>
        <w:t xml:space="preserve"> Physical layer multiplexing of LTE/NR uplinks</w:t>
      </w:r>
    </w:p>
    <w:p w14:paraId="7B008C0D" w14:textId="0E921594" w:rsidR="00054385" w:rsidRDefault="00AF022A" w:rsidP="00B127BB">
      <w:pPr>
        <w:jc w:val="both"/>
        <w:rPr>
          <w:lang w:val="en-GB"/>
        </w:rPr>
      </w:pPr>
      <w:r>
        <w:rPr>
          <w:lang w:val="en-GB"/>
        </w:rPr>
        <w:t xml:space="preserve">Depending on </w:t>
      </w:r>
      <w:r w:rsidR="00027061">
        <w:rPr>
          <w:lang w:val="en-GB"/>
        </w:rPr>
        <w:t>whether the</w:t>
      </w:r>
      <w:r w:rsidR="009813C9">
        <w:rPr>
          <w:lang w:val="en-GB"/>
        </w:rPr>
        <w:t xml:space="preserve"> cell on LTE carrier frequency</w:t>
      </w:r>
      <w:r w:rsidR="00027061">
        <w:rPr>
          <w:lang w:val="en-GB"/>
        </w:rPr>
        <w:t xml:space="preserve"> supports LTE/NR coexistence (</w:t>
      </w:r>
      <w:r w:rsidR="009813C9">
        <w:rPr>
          <w:lang w:val="en-GB"/>
        </w:rPr>
        <w:t xml:space="preserve">which will be a feature supported by Rel.15 specification as agreed in WID </w:t>
      </w:r>
      <w:r w:rsidR="009813C9">
        <w:rPr>
          <w:lang w:val="en-GB"/>
        </w:rPr>
        <w:fldChar w:fldCharType="begin"/>
      </w:r>
      <w:r w:rsidR="009813C9">
        <w:rPr>
          <w:lang w:val="en-GB"/>
        </w:rPr>
        <w:instrText xml:space="preserve"> REF _Ref485052628 \r \h </w:instrText>
      </w:r>
      <w:r w:rsidR="009813C9">
        <w:rPr>
          <w:lang w:val="en-GB"/>
        </w:rPr>
      </w:r>
      <w:r w:rsidR="009813C9">
        <w:rPr>
          <w:lang w:val="en-GB"/>
        </w:rPr>
        <w:fldChar w:fldCharType="separate"/>
      </w:r>
      <w:r w:rsidR="00106DF3">
        <w:rPr>
          <w:lang w:val="en-GB"/>
        </w:rPr>
        <w:t>[1]</w:t>
      </w:r>
      <w:r w:rsidR="009813C9">
        <w:rPr>
          <w:lang w:val="en-GB"/>
        </w:rPr>
        <w:fldChar w:fldCharType="end"/>
      </w:r>
      <w:r w:rsidR="009813C9">
        <w:rPr>
          <w:lang w:val="en-GB"/>
        </w:rPr>
        <w:t xml:space="preserve">), the TDM of the two RATs can either happen on the same frequency, or different frequencies as shown in </w:t>
      </w:r>
      <w:r w:rsidR="00DD16A8">
        <w:rPr>
          <w:lang w:val="en-GB"/>
        </w:rPr>
        <w:fldChar w:fldCharType="begin"/>
      </w:r>
      <w:r w:rsidR="00DD16A8">
        <w:rPr>
          <w:lang w:val="en-GB"/>
        </w:rPr>
        <w:instrText xml:space="preserve"> REF _Ref485152353 \h </w:instrText>
      </w:r>
      <w:r w:rsidR="00DD16A8">
        <w:rPr>
          <w:lang w:val="en-GB"/>
        </w:rPr>
      </w:r>
      <w:r w:rsidR="00DD16A8">
        <w:rPr>
          <w:lang w:val="en-GB"/>
        </w:rPr>
        <w:fldChar w:fldCharType="separate"/>
      </w:r>
      <w:r w:rsidR="00106DF3">
        <w:t xml:space="preserve">Figure </w:t>
      </w:r>
      <w:r w:rsidR="00106DF3">
        <w:rPr>
          <w:noProof/>
        </w:rPr>
        <w:t>3</w:t>
      </w:r>
      <w:r w:rsidR="00DD16A8">
        <w:rPr>
          <w:lang w:val="en-GB"/>
        </w:rPr>
        <w:fldChar w:fldCharType="end"/>
      </w:r>
      <w:r w:rsidR="00F2269D">
        <w:rPr>
          <w:lang w:val="en-GB"/>
        </w:rPr>
        <w:t>:</w:t>
      </w:r>
    </w:p>
    <w:p w14:paraId="7EB8B203" w14:textId="02F892CB" w:rsidR="00F2269D" w:rsidRPr="00F527A0" w:rsidRDefault="00F2269D" w:rsidP="00B127BB">
      <w:pPr>
        <w:pStyle w:val="ListParagraph"/>
        <w:numPr>
          <w:ilvl w:val="0"/>
          <w:numId w:val="21"/>
        </w:numPr>
        <w:jc w:val="both"/>
        <w:rPr>
          <w:sz w:val="20"/>
          <w:szCs w:val="20"/>
          <w:lang w:val="en-GB"/>
        </w:rPr>
      </w:pPr>
      <w:r w:rsidRPr="00F527A0">
        <w:rPr>
          <w:sz w:val="20"/>
          <w:szCs w:val="20"/>
          <w:lang w:val="en-GB"/>
        </w:rPr>
        <w:t>Option 1: if the cell on LTE frequency F1 supports co-existence of two RATs, the NR uplink can potentially share the same uplink frequency on F1 as LTE uplink.</w:t>
      </w:r>
    </w:p>
    <w:p w14:paraId="4E2BD789" w14:textId="15241811" w:rsidR="00F2269D" w:rsidRDefault="00F2269D" w:rsidP="00B127BB">
      <w:pPr>
        <w:pStyle w:val="ListParagraph"/>
        <w:numPr>
          <w:ilvl w:val="0"/>
          <w:numId w:val="21"/>
        </w:numPr>
        <w:jc w:val="both"/>
        <w:rPr>
          <w:sz w:val="20"/>
          <w:szCs w:val="20"/>
          <w:lang w:val="en-GB"/>
        </w:rPr>
      </w:pPr>
      <w:r w:rsidRPr="00F527A0">
        <w:rPr>
          <w:sz w:val="20"/>
          <w:szCs w:val="20"/>
          <w:lang w:val="en-GB"/>
        </w:rPr>
        <w:t>Option 2: if the cell on LTE frequency F1 only supports 1 RAT, then NR uplink can only be transmitted on NR frequency F3, but still TDM with LTE uplink in different slots.</w:t>
      </w:r>
    </w:p>
    <w:p w14:paraId="7FAF7136" w14:textId="77777777" w:rsidR="00F527A0" w:rsidRPr="00F527A0" w:rsidRDefault="00F527A0" w:rsidP="00F527A0">
      <w:pPr>
        <w:pStyle w:val="ListParagraph"/>
        <w:jc w:val="both"/>
        <w:rPr>
          <w:sz w:val="20"/>
          <w:szCs w:val="20"/>
          <w:lang w:val="en-GB"/>
        </w:rPr>
      </w:pPr>
    </w:p>
    <w:p w14:paraId="00A5FE3B" w14:textId="5892478B" w:rsidR="009813C9" w:rsidRDefault="003B60FF" w:rsidP="009813C9">
      <w:pPr>
        <w:jc w:val="center"/>
        <w:rPr>
          <w:lang w:val="en-GB"/>
        </w:rPr>
      </w:pPr>
      <w:r w:rsidRPr="003B60FF">
        <w:rPr>
          <w:noProof/>
        </w:rPr>
        <w:drawing>
          <wp:inline distT="0" distB="0" distL="0" distR="0" wp14:anchorId="7ECF92BB" wp14:editId="5C4BF409">
            <wp:extent cx="3931920" cy="1554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31920" cy="1554480"/>
                    </a:xfrm>
                    <a:prstGeom prst="rect">
                      <a:avLst/>
                    </a:prstGeom>
                  </pic:spPr>
                </pic:pic>
              </a:graphicData>
            </a:graphic>
          </wp:inline>
        </w:drawing>
      </w:r>
    </w:p>
    <w:p w14:paraId="74B98632" w14:textId="6F06BE28" w:rsidR="009813C9" w:rsidRDefault="009813C9" w:rsidP="009813C9">
      <w:pPr>
        <w:pStyle w:val="Caption"/>
        <w:jc w:val="center"/>
      </w:pPr>
      <w:bookmarkStart w:id="3" w:name="_Ref485152353"/>
      <w:r>
        <w:lastRenderedPageBreak/>
        <w:t xml:space="preserve">Figure </w:t>
      </w:r>
      <w:r w:rsidR="008741E3">
        <w:fldChar w:fldCharType="begin"/>
      </w:r>
      <w:r w:rsidR="008741E3">
        <w:instrText xml:space="preserve"> SEQ Figure \* ARABIC </w:instrText>
      </w:r>
      <w:r w:rsidR="008741E3">
        <w:fldChar w:fldCharType="separate"/>
      </w:r>
      <w:r w:rsidR="00106DF3">
        <w:rPr>
          <w:noProof/>
        </w:rPr>
        <w:t>3</w:t>
      </w:r>
      <w:r w:rsidR="008741E3">
        <w:rPr>
          <w:noProof/>
        </w:rPr>
        <w:fldChar w:fldCharType="end"/>
      </w:r>
      <w:bookmarkEnd w:id="3"/>
      <w:r>
        <w:t xml:space="preserve"> TDM of two uplinks </w:t>
      </w:r>
      <w:r w:rsidR="00363F86">
        <w:t xml:space="preserve">from a single UE </w:t>
      </w:r>
      <w:r>
        <w:t>in same or different frequencies</w:t>
      </w:r>
    </w:p>
    <w:p w14:paraId="7C9B0E6B" w14:textId="7BCB2375" w:rsidR="00E901BE" w:rsidRDefault="000D2DEC" w:rsidP="000D2DEC">
      <w:pPr>
        <w:pStyle w:val="Heading2"/>
      </w:pPr>
      <w:r>
        <w:t>Potential specification and implementation impact</w:t>
      </w:r>
    </w:p>
    <w:p w14:paraId="260C48B2" w14:textId="413AFB22" w:rsidR="000D2DEC" w:rsidRDefault="000D2DEC" w:rsidP="000D2DEC">
      <w:pPr>
        <w:pStyle w:val="Heading3"/>
      </w:pPr>
      <w:r>
        <w:t>X2 interface</w:t>
      </w:r>
    </w:p>
    <w:p w14:paraId="4ED0F45A" w14:textId="3B8C4DAF" w:rsidR="000D2DEC" w:rsidRDefault="000D2DEC" w:rsidP="00B127BB">
      <w:pPr>
        <w:jc w:val="both"/>
        <w:rPr>
          <w:lang w:val="en-GB"/>
        </w:rPr>
      </w:pPr>
      <w:r>
        <w:rPr>
          <w:lang w:val="en-GB"/>
        </w:rPr>
        <w:t xml:space="preserve">Some uplink control resources for LTE are semi-statically configured by the network, including PUCCH, SRS, and RACH resources. Similar is expected in NR as well. Those resources need to </w:t>
      </w:r>
      <w:r w:rsidR="001021EA">
        <w:rPr>
          <w:lang w:val="en-GB"/>
        </w:rPr>
        <w:t xml:space="preserve">be </w:t>
      </w:r>
      <w:r w:rsidR="003E5E7D">
        <w:rPr>
          <w:lang w:val="en-GB"/>
        </w:rPr>
        <w:t>p</w:t>
      </w:r>
      <w:r>
        <w:rPr>
          <w:lang w:val="en-GB"/>
        </w:rPr>
        <w:t>reserved when TDM</w:t>
      </w:r>
      <w:r w:rsidR="001021EA">
        <w:rPr>
          <w:lang w:val="en-GB"/>
        </w:rPr>
        <w:t>’ing</w:t>
      </w:r>
      <w:r>
        <w:rPr>
          <w:lang w:val="en-GB"/>
        </w:rPr>
        <w:t xml:space="preserve"> the two uplinks from two RATs.</w:t>
      </w:r>
      <w:r w:rsidR="003E5E7D">
        <w:rPr>
          <w:lang w:val="en-GB"/>
        </w:rPr>
        <w:t xml:space="preserve"> This applies to both cases where</w:t>
      </w:r>
      <w:r>
        <w:rPr>
          <w:lang w:val="en-GB"/>
        </w:rPr>
        <w:t xml:space="preserve"> the two uplinks are</w:t>
      </w:r>
      <w:r w:rsidR="003E5E7D">
        <w:rPr>
          <w:lang w:val="en-GB"/>
        </w:rPr>
        <w:t xml:space="preserve"> TDM’ed on the same frequency or</w:t>
      </w:r>
      <w:r>
        <w:rPr>
          <w:lang w:val="en-GB"/>
        </w:rPr>
        <w:t xml:space="preserve"> different frequencies. To achieve this, the eNB and gNB need to exchange these semi-static configurations through the X2 interface</w:t>
      </w:r>
      <w:r w:rsidR="00BB23C3">
        <w:rPr>
          <w:lang w:val="en-GB"/>
        </w:rPr>
        <w:t>.</w:t>
      </w:r>
    </w:p>
    <w:p w14:paraId="43E24200" w14:textId="51186A22" w:rsidR="001705EB" w:rsidRDefault="001705EB" w:rsidP="001705EB">
      <w:pPr>
        <w:pStyle w:val="Heading3"/>
      </w:pPr>
      <w:r>
        <w:t xml:space="preserve">Uplink </w:t>
      </w:r>
      <w:r w:rsidR="004261DB">
        <w:t xml:space="preserve">TDM </w:t>
      </w:r>
      <w:r>
        <w:t>resource allocation</w:t>
      </w:r>
    </w:p>
    <w:p w14:paraId="71B56F8B" w14:textId="2D7F2BF6" w:rsidR="0098691E" w:rsidRPr="0098691E" w:rsidRDefault="0098691E" w:rsidP="00B127BB">
      <w:pPr>
        <w:jc w:val="both"/>
        <w:rPr>
          <w:lang w:val="en-GB"/>
        </w:rPr>
      </w:pPr>
      <w:r>
        <w:rPr>
          <w:lang w:val="en-GB"/>
        </w:rPr>
        <w:t xml:space="preserve">The allocation of </w:t>
      </w:r>
      <w:r w:rsidR="001671E9">
        <w:rPr>
          <w:lang w:val="en-GB"/>
        </w:rPr>
        <w:t>different</w:t>
      </w:r>
      <w:r>
        <w:rPr>
          <w:lang w:val="en-GB"/>
        </w:rPr>
        <w:t xml:space="preserve"> slots to</w:t>
      </w:r>
      <w:r w:rsidR="00FB15C5">
        <w:rPr>
          <w:lang w:val="en-GB"/>
        </w:rPr>
        <w:t xml:space="preserve"> an individual NSA mode UE for</w:t>
      </w:r>
      <w:r>
        <w:rPr>
          <w:lang w:val="en-GB"/>
        </w:rPr>
        <w:t xml:space="preserve"> </w:t>
      </w:r>
      <w:r w:rsidR="00FB15C5">
        <w:rPr>
          <w:lang w:val="en-GB"/>
        </w:rPr>
        <w:t xml:space="preserve">LTE uplink or NR uplink </w:t>
      </w:r>
      <w:r w:rsidR="001671E9">
        <w:rPr>
          <w:lang w:val="en-GB"/>
        </w:rPr>
        <w:t>usage</w:t>
      </w:r>
      <w:r w:rsidR="00A25F70">
        <w:rPr>
          <w:lang w:val="en-GB"/>
        </w:rPr>
        <w:t>s</w:t>
      </w:r>
      <w:r w:rsidR="001671E9">
        <w:rPr>
          <w:lang w:val="en-GB"/>
        </w:rPr>
        <w:t xml:space="preserve"> requires interaction between the NR scheduler and LTE scheduler.</w:t>
      </w:r>
      <w:r w:rsidR="00B127BB">
        <w:rPr>
          <w:lang w:val="en-GB"/>
        </w:rPr>
        <w:t xml:space="preserve"> It is desirable such allocation doesn’t change too dynamically. As mentioned above, some control resources also need to be configured semi-statically. Therefore, it is beneficial to allocate the time resources </w:t>
      </w:r>
      <w:r w:rsidR="00177479">
        <w:rPr>
          <w:lang w:val="en-GB"/>
        </w:rPr>
        <w:t>for the two RATs semi-statically</w:t>
      </w:r>
      <w:r w:rsidR="005D5BE5">
        <w:rPr>
          <w:lang w:val="en-GB"/>
        </w:rPr>
        <w:t xml:space="preserve"> to </w:t>
      </w:r>
      <w:r w:rsidR="00F804C0">
        <w:rPr>
          <w:lang w:val="en-GB"/>
        </w:rPr>
        <w:t>the</w:t>
      </w:r>
      <w:r w:rsidR="005D5BE5">
        <w:rPr>
          <w:lang w:val="en-GB"/>
        </w:rPr>
        <w:t xml:space="preserve"> NSA mode UE</w:t>
      </w:r>
      <w:r w:rsidR="00177479">
        <w:rPr>
          <w:lang w:val="en-GB"/>
        </w:rPr>
        <w:t>. The allocation</w:t>
      </w:r>
      <w:r w:rsidR="005D5BE5">
        <w:rPr>
          <w:lang w:val="en-GB"/>
        </w:rPr>
        <w:t xml:space="preserve"> can be based </w:t>
      </w:r>
      <w:r w:rsidR="00F804C0">
        <w:rPr>
          <w:lang w:val="en-GB"/>
        </w:rPr>
        <w:t xml:space="preserve">on </w:t>
      </w:r>
      <w:r w:rsidR="005D5BE5">
        <w:rPr>
          <w:lang w:val="en-GB"/>
        </w:rPr>
        <w:t>the specific UE’s traffic pattern, as well as the overall NR UE penetration in the network.</w:t>
      </w:r>
    </w:p>
    <w:p w14:paraId="68DEB429" w14:textId="2214A9CB" w:rsidR="001705EB" w:rsidRDefault="001705EB" w:rsidP="00762463">
      <w:pPr>
        <w:pStyle w:val="Heading3"/>
      </w:pPr>
      <w:r>
        <w:t>Downlink scheduling impact</w:t>
      </w:r>
    </w:p>
    <w:p w14:paraId="68AA2931" w14:textId="22377765" w:rsidR="00762463" w:rsidRDefault="00C96C13" w:rsidP="001D46A9">
      <w:pPr>
        <w:jc w:val="both"/>
        <w:rPr>
          <w:lang w:val="en-GB"/>
        </w:rPr>
      </w:pPr>
      <w:r>
        <w:rPr>
          <w:lang w:val="en-GB"/>
        </w:rPr>
        <w:t>It should be emphasized that the TDM multiplexing is only intended for the uplink</w:t>
      </w:r>
      <w:r w:rsidR="006517AE">
        <w:rPr>
          <w:lang w:val="en-GB"/>
        </w:rPr>
        <w:t xml:space="preserve">, while the downlink of the two RATs can still operate separately on the different downlink frequencies, respectively. </w:t>
      </w:r>
      <w:r w:rsidR="00B20AB0">
        <w:rPr>
          <w:lang w:val="en-GB"/>
        </w:rPr>
        <w:t>However, there is still indirect</w:t>
      </w:r>
      <w:r w:rsidR="004302F4">
        <w:rPr>
          <w:lang w:val="en-GB"/>
        </w:rPr>
        <w:t xml:space="preserve"> impact </w:t>
      </w:r>
      <w:r w:rsidR="00B20AB0">
        <w:rPr>
          <w:lang w:val="en-GB"/>
        </w:rPr>
        <w:t xml:space="preserve">to the downlink due to </w:t>
      </w:r>
      <w:r>
        <w:rPr>
          <w:lang w:val="en-GB"/>
        </w:rPr>
        <w:t xml:space="preserve">uplink TDM multiplexing of </w:t>
      </w:r>
      <w:r w:rsidR="00B20AB0">
        <w:rPr>
          <w:lang w:val="en-GB"/>
        </w:rPr>
        <w:t>2 RATs, especially for the LTE downlink.</w:t>
      </w:r>
    </w:p>
    <w:p w14:paraId="746C8820" w14:textId="2AD74DE5" w:rsidR="001D46A9" w:rsidRDefault="001D46A9" w:rsidP="001D46A9">
      <w:pPr>
        <w:jc w:val="both"/>
        <w:rPr>
          <w:lang w:val="en-GB"/>
        </w:rPr>
      </w:pPr>
      <w:r>
        <w:rPr>
          <w:lang w:val="en-GB"/>
        </w:rPr>
        <w:t>In legacy LTE FDD configuration</w:t>
      </w:r>
      <w:r w:rsidR="004261DB">
        <w:rPr>
          <w:lang w:val="en-GB"/>
        </w:rPr>
        <w:t>, uplink HARQ feedback for PDSCH packet is sent with 4 sub-frames delay.</w:t>
      </w:r>
      <w:r w:rsidR="00E84B57">
        <w:rPr>
          <w:lang w:val="en-GB"/>
        </w:rPr>
        <w:t xml:space="preserve"> For the NSA mode UE, if the uplink </w:t>
      </w:r>
      <w:r w:rsidR="00B728F3">
        <w:rPr>
          <w:lang w:val="en-GB"/>
        </w:rPr>
        <w:t xml:space="preserve">sub-frame n+4 is allocated to NR, then </w:t>
      </w:r>
      <w:r w:rsidR="00D57A46">
        <w:rPr>
          <w:lang w:val="en-GB"/>
        </w:rPr>
        <w:t xml:space="preserve">by default </w:t>
      </w:r>
      <w:r w:rsidR="00B728F3">
        <w:rPr>
          <w:lang w:val="en-GB"/>
        </w:rPr>
        <w:t>the downlink</w:t>
      </w:r>
      <w:r w:rsidR="001F63FE">
        <w:rPr>
          <w:lang w:val="en-GB"/>
        </w:rPr>
        <w:t xml:space="preserve"> </w:t>
      </w:r>
      <w:r w:rsidR="00D57A46">
        <w:rPr>
          <w:lang w:val="en-GB"/>
        </w:rPr>
        <w:t>LTE PDSCH need to be “muted” in sub-frame n as there is no corresponding LTE UCI feedback opportunity.</w:t>
      </w:r>
    </w:p>
    <w:p w14:paraId="737D1E23" w14:textId="5F83FE61" w:rsidR="008A1DAD" w:rsidRDefault="00B649AE" w:rsidP="000927E7">
      <w:pPr>
        <w:jc w:val="center"/>
        <w:rPr>
          <w:lang w:val="en-GB"/>
        </w:rPr>
      </w:pPr>
      <w:r w:rsidRPr="00B649AE">
        <w:rPr>
          <w:noProof/>
        </w:rPr>
        <w:drawing>
          <wp:inline distT="0" distB="0" distL="0" distR="0" wp14:anchorId="65C2B2AB" wp14:editId="56ED2308">
            <wp:extent cx="4764024" cy="603504"/>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64024" cy="603504"/>
                    </a:xfrm>
                    <a:prstGeom prst="rect">
                      <a:avLst/>
                    </a:prstGeom>
                  </pic:spPr>
                </pic:pic>
              </a:graphicData>
            </a:graphic>
          </wp:inline>
        </w:drawing>
      </w:r>
    </w:p>
    <w:p w14:paraId="4A5DDFD1" w14:textId="3767AAFB" w:rsidR="000927E7" w:rsidRDefault="000927E7" w:rsidP="000927E7">
      <w:pPr>
        <w:pStyle w:val="Caption"/>
        <w:jc w:val="center"/>
        <w:rPr>
          <w:lang w:val="en-GB"/>
        </w:rPr>
      </w:pPr>
      <w:r>
        <w:t xml:space="preserve">Figure </w:t>
      </w:r>
      <w:r w:rsidR="008741E3">
        <w:fldChar w:fldCharType="begin"/>
      </w:r>
      <w:r w:rsidR="008741E3">
        <w:instrText xml:space="preserve"> SEQ Figure \* ARABIC </w:instrText>
      </w:r>
      <w:r w:rsidR="008741E3">
        <w:fldChar w:fldCharType="separate"/>
      </w:r>
      <w:r w:rsidR="00106DF3">
        <w:rPr>
          <w:noProof/>
        </w:rPr>
        <w:t>4</w:t>
      </w:r>
      <w:r w:rsidR="008741E3">
        <w:rPr>
          <w:noProof/>
        </w:rPr>
        <w:fldChar w:fldCharType="end"/>
      </w:r>
      <w:r w:rsidR="00B67F89">
        <w:t xml:space="preserve"> LTE PDSCH</w:t>
      </w:r>
      <w:r>
        <w:t xml:space="preserve"> muting</w:t>
      </w:r>
      <w:r w:rsidR="00B649AE">
        <w:t xml:space="preserve"> due to uplink TDM of 2 RATs</w:t>
      </w:r>
    </w:p>
    <w:p w14:paraId="56260113" w14:textId="002E7E93" w:rsidR="001236AA" w:rsidRDefault="00412015" w:rsidP="00E519B8">
      <w:pPr>
        <w:jc w:val="both"/>
        <w:rPr>
          <w:lang w:val="en-GB"/>
        </w:rPr>
      </w:pPr>
      <w:r>
        <w:rPr>
          <w:lang w:val="en-GB"/>
        </w:rPr>
        <w:t xml:space="preserve">Such </w:t>
      </w:r>
      <w:r w:rsidR="00E519B8">
        <w:rPr>
          <w:lang w:val="en-GB"/>
        </w:rPr>
        <w:t>“</w:t>
      </w:r>
      <w:r w:rsidR="00E22FFB">
        <w:rPr>
          <w:lang w:val="en-GB"/>
        </w:rPr>
        <w:t>downlink muting</w:t>
      </w:r>
      <w:r w:rsidR="00E519B8">
        <w:rPr>
          <w:lang w:val="en-GB"/>
        </w:rPr>
        <w:t>”</w:t>
      </w:r>
      <w:r w:rsidR="00E22FFB">
        <w:rPr>
          <w:lang w:val="en-GB"/>
        </w:rPr>
        <w:t xml:space="preserve"> of LTE </w:t>
      </w:r>
      <w:r w:rsidR="00CE2858">
        <w:rPr>
          <w:lang w:val="en-GB"/>
        </w:rPr>
        <w:t xml:space="preserve">PDSCH would potentially impact the </w:t>
      </w:r>
      <w:r w:rsidR="00E519B8">
        <w:rPr>
          <w:lang w:val="en-GB"/>
        </w:rPr>
        <w:t>LTE downlink throughput</w:t>
      </w:r>
      <w:r w:rsidR="00CE2858">
        <w:rPr>
          <w:lang w:val="en-GB"/>
        </w:rPr>
        <w:t xml:space="preserve"> of </w:t>
      </w:r>
      <w:r w:rsidR="00E519B8">
        <w:rPr>
          <w:lang w:val="en-GB"/>
        </w:rPr>
        <w:t xml:space="preserve">that particular UE. However, </w:t>
      </w:r>
      <w:r w:rsidR="00E519B8" w:rsidRPr="00704AE5">
        <w:rPr>
          <w:i/>
          <w:lang w:val="en-GB"/>
        </w:rPr>
        <w:t xml:space="preserve">the overall </w:t>
      </w:r>
      <w:r w:rsidR="00C84D74" w:rsidRPr="00704AE5">
        <w:rPr>
          <w:i/>
          <w:lang w:val="en-GB"/>
        </w:rPr>
        <w:t xml:space="preserve">LTE </w:t>
      </w:r>
      <w:r w:rsidR="00E519B8" w:rsidRPr="00704AE5">
        <w:rPr>
          <w:i/>
          <w:lang w:val="en-GB"/>
        </w:rPr>
        <w:t>cell</w:t>
      </w:r>
      <w:r w:rsidR="00C84D74" w:rsidRPr="00704AE5">
        <w:rPr>
          <w:i/>
          <w:lang w:val="en-GB"/>
        </w:rPr>
        <w:t xml:space="preserve"> DL</w:t>
      </w:r>
      <w:r w:rsidR="00E519B8" w:rsidRPr="00704AE5">
        <w:rPr>
          <w:i/>
          <w:lang w:val="en-GB"/>
        </w:rPr>
        <w:t xml:space="preserve"> throughput is not necessarily impacted</w:t>
      </w:r>
      <w:r w:rsidR="00E519B8">
        <w:rPr>
          <w:lang w:val="en-GB"/>
        </w:rPr>
        <w:t xml:space="preserve">, since the “muted sub-frame” could still be used by other legacy LTE users. </w:t>
      </w:r>
    </w:p>
    <w:p w14:paraId="1BF4BE4B" w14:textId="1E1B32BB" w:rsidR="00762463" w:rsidRDefault="001236AA" w:rsidP="00E519B8">
      <w:pPr>
        <w:jc w:val="both"/>
        <w:rPr>
          <w:lang w:val="en-GB"/>
        </w:rPr>
      </w:pPr>
      <w:r>
        <w:rPr>
          <w:lang w:val="en-GB"/>
        </w:rPr>
        <w:t xml:space="preserve">On the other hand, </w:t>
      </w:r>
      <w:r w:rsidR="00053E03">
        <w:rPr>
          <w:lang w:val="en-GB"/>
        </w:rPr>
        <w:t xml:space="preserve">for the particular NSA UE, </w:t>
      </w:r>
      <w:r w:rsidR="00892E8A">
        <w:rPr>
          <w:lang w:val="en-GB"/>
        </w:rPr>
        <w:t xml:space="preserve">the </w:t>
      </w:r>
      <w:r w:rsidR="00053E03">
        <w:rPr>
          <w:lang w:val="en-GB"/>
        </w:rPr>
        <w:t xml:space="preserve">incurred LTE downlink throughput loss </w:t>
      </w:r>
      <w:r w:rsidR="00FD207D">
        <w:rPr>
          <w:lang w:val="en-GB"/>
        </w:rPr>
        <w:t xml:space="preserve">can be circumvented by </w:t>
      </w:r>
      <w:r w:rsidR="00892E8A">
        <w:rPr>
          <w:lang w:val="en-GB"/>
        </w:rPr>
        <w:t>allowing</w:t>
      </w:r>
      <w:r w:rsidR="00053E03">
        <w:rPr>
          <w:lang w:val="en-GB"/>
        </w:rPr>
        <w:t xml:space="preserve"> each PUCCH to carry ACK bits for multiple consecutive PDSCH sub-frames, similar as LTE TDD ACK feedback mechanism. This is illustrated in </w:t>
      </w:r>
      <w:r w:rsidR="00BA581B">
        <w:rPr>
          <w:lang w:val="en-GB"/>
        </w:rPr>
        <w:fldChar w:fldCharType="begin"/>
      </w:r>
      <w:r w:rsidR="00BA581B">
        <w:rPr>
          <w:lang w:val="en-GB"/>
        </w:rPr>
        <w:instrText xml:space="preserve"> REF _Ref485237776 \h </w:instrText>
      </w:r>
      <w:r w:rsidR="00BA581B">
        <w:rPr>
          <w:lang w:val="en-GB"/>
        </w:rPr>
      </w:r>
      <w:r w:rsidR="00BA581B">
        <w:rPr>
          <w:lang w:val="en-GB"/>
        </w:rPr>
        <w:fldChar w:fldCharType="separate"/>
      </w:r>
      <w:r w:rsidR="00106DF3">
        <w:t xml:space="preserve">Figure </w:t>
      </w:r>
      <w:r w:rsidR="00106DF3">
        <w:rPr>
          <w:noProof/>
        </w:rPr>
        <w:t>5</w:t>
      </w:r>
      <w:r w:rsidR="00BA581B">
        <w:rPr>
          <w:lang w:val="en-GB"/>
        </w:rPr>
        <w:fldChar w:fldCharType="end"/>
      </w:r>
      <w:r w:rsidR="00BA581B">
        <w:rPr>
          <w:lang w:val="en-GB"/>
        </w:rPr>
        <w:t>, where continuous LTE PDSCH can be scheduled with isolated PUCCH opportunities. However, this may require changes to LTE specifications for the Rel.15 UEs, although no impact expected to the legacy UEs.</w:t>
      </w:r>
    </w:p>
    <w:p w14:paraId="241563AE" w14:textId="6BF0A379" w:rsidR="00053E03" w:rsidRDefault="00053E03" w:rsidP="00053E03">
      <w:pPr>
        <w:jc w:val="center"/>
        <w:rPr>
          <w:lang w:val="en-GB"/>
        </w:rPr>
      </w:pPr>
      <w:r w:rsidRPr="00053E03">
        <w:rPr>
          <w:noProof/>
        </w:rPr>
        <w:drawing>
          <wp:inline distT="0" distB="0" distL="0" distR="0" wp14:anchorId="09BC3EDD" wp14:editId="07A11BEB">
            <wp:extent cx="5449824" cy="713232"/>
            <wp:effectExtent l="0" t="0" r="1143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49824" cy="713232"/>
                    </a:xfrm>
                    <a:prstGeom prst="rect">
                      <a:avLst/>
                    </a:prstGeom>
                  </pic:spPr>
                </pic:pic>
              </a:graphicData>
            </a:graphic>
          </wp:inline>
        </w:drawing>
      </w:r>
    </w:p>
    <w:p w14:paraId="4AB8AE9C" w14:textId="4B5BBAE2" w:rsidR="00053E03" w:rsidRDefault="00F53688" w:rsidP="00BA581B">
      <w:pPr>
        <w:pStyle w:val="Caption"/>
        <w:jc w:val="center"/>
      </w:pPr>
      <w:bookmarkStart w:id="4" w:name="_Ref485237776"/>
      <w:r>
        <w:t xml:space="preserve">Figure </w:t>
      </w:r>
      <w:r w:rsidR="008741E3">
        <w:fldChar w:fldCharType="begin"/>
      </w:r>
      <w:r w:rsidR="008741E3">
        <w:instrText xml:space="preserve"> SEQ Figure \* ARABIC </w:instrText>
      </w:r>
      <w:r w:rsidR="008741E3">
        <w:fldChar w:fldCharType="separate"/>
      </w:r>
      <w:r w:rsidR="00106DF3">
        <w:rPr>
          <w:noProof/>
        </w:rPr>
        <w:t>5</w:t>
      </w:r>
      <w:r w:rsidR="008741E3">
        <w:rPr>
          <w:noProof/>
        </w:rPr>
        <w:fldChar w:fldCharType="end"/>
      </w:r>
      <w:bookmarkEnd w:id="4"/>
      <w:r>
        <w:t xml:space="preserve"> Cross sub-frames </w:t>
      </w:r>
      <w:r w:rsidR="00BA581B">
        <w:t>ACK aggregation</w:t>
      </w:r>
    </w:p>
    <w:p w14:paraId="1475EEF4" w14:textId="23187D88" w:rsidR="00F527A0" w:rsidRPr="00F527A0" w:rsidRDefault="00F527A0" w:rsidP="00F527A0">
      <w:r>
        <w:t>Notice that NR PDSCH is not supposed to be impacted by TDM</w:t>
      </w:r>
      <w:r w:rsidR="00B27701">
        <w:t>’ing</w:t>
      </w:r>
      <w:r>
        <w:t xml:space="preserve"> the uplink sub-frames among two RATs, since it is already agreed that </w:t>
      </w:r>
      <w:r w:rsidR="00774CB6">
        <w:t>“</w:t>
      </w:r>
      <w:r w:rsidR="00774CB6" w:rsidRPr="00774CB6">
        <w:rPr>
          <w:i/>
        </w:rPr>
        <w:t>HARQ ACK feedback for multiple DL transmissions in time can be transmitted in one UL data/control region</w:t>
      </w:r>
      <w:r w:rsidR="00774CB6">
        <w:t>”</w:t>
      </w:r>
      <w:r>
        <w:t xml:space="preserve"> in Rel.15</w:t>
      </w:r>
      <w:r w:rsidR="00774CB6">
        <w:t xml:space="preserve"> spec</w:t>
      </w:r>
      <w:r>
        <w:t>.</w:t>
      </w:r>
    </w:p>
    <w:p w14:paraId="541F58EF" w14:textId="77777777" w:rsidR="00B5505B" w:rsidRDefault="00B5505B" w:rsidP="00B5505B"/>
    <w:p w14:paraId="69CF876F" w14:textId="77777777" w:rsidR="00F527A0" w:rsidRDefault="009E54E4" w:rsidP="009E54E4">
      <w:pPr>
        <w:jc w:val="both"/>
        <w:rPr>
          <w:b/>
          <w:i/>
          <w:lang w:val="en-GB"/>
        </w:rPr>
      </w:pPr>
      <w:r>
        <w:rPr>
          <w:b/>
          <w:i/>
          <w:u w:val="single"/>
          <w:lang w:val="en-GB"/>
        </w:rPr>
        <w:lastRenderedPageBreak/>
        <w:t>Observation</w:t>
      </w:r>
      <w:r w:rsidRPr="00D33EC1">
        <w:rPr>
          <w:b/>
          <w:i/>
          <w:u w:val="single"/>
          <w:lang w:val="en-GB"/>
        </w:rPr>
        <w:t xml:space="preserve"> 1</w:t>
      </w:r>
      <w:r w:rsidRPr="00D33EC1">
        <w:rPr>
          <w:b/>
          <w:i/>
          <w:lang w:val="en-GB"/>
        </w:rPr>
        <w:t xml:space="preserve">: </w:t>
      </w:r>
      <w:r w:rsidR="00F527A0">
        <w:rPr>
          <w:b/>
          <w:i/>
          <w:lang w:val="en-GB"/>
        </w:rPr>
        <w:t>The physical layer TDM approach requires the following:</w:t>
      </w:r>
    </w:p>
    <w:p w14:paraId="440706AE" w14:textId="31B173AD" w:rsidR="009E54E4" w:rsidRPr="00B67F89" w:rsidRDefault="00F527A0" w:rsidP="00B67F89">
      <w:pPr>
        <w:pStyle w:val="ListParagraph"/>
        <w:numPr>
          <w:ilvl w:val="0"/>
          <w:numId w:val="26"/>
        </w:numPr>
        <w:jc w:val="both"/>
        <w:rPr>
          <w:rFonts w:ascii="Times New Roman" w:hAnsi="Times New Roman"/>
          <w:b/>
          <w:i/>
          <w:sz w:val="20"/>
          <w:szCs w:val="20"/>
          <w:lang w:val="en-GB"/>
        </w:rPr>
      </w:pPr>
      <w:r w:rsidRPr="00B67F89">
        <w:rPr>
          <w:rFonts w:ascii="Times New Roman" w:hAnsi="Times New Roman"/>
          <w:b/>
          <w:i/>
          <w:sz w:val="20"/>
          <w:szCs w:val="20"/>
          <w:lang w:val="en-GB"/>
        </w:rPr>
        <w:t>UL synchronization between eNB and gNB</w:t>
      </w:r>
      <w:r w:rsidR="009E54E4" w:rsidRPr="00B67F89">
        <w:rPr>
          <w:rFonts w:ascii="Times New Roman" w:hAnsi="Times New Roman"/>
          <w:b/>
          <w:i/>
          <w:sz w:val="20"/>
          <w:szCs w:val="20"/>
          <w:lang w:val="en-GB"/>
        </w:rPr>
        <w:t xml:space="preserve">. </w:t>
      </w:r>
    </w:p>
    <w:p w14:paraId="08971BC2" w14:textId="41FBED56" w:rsidR="00F527A0" w:rsidRPr="00B67F89" w:rsidRDefault="00F527A0" w:rsidP="00B67F89">
      <w:pPr>
        <w:pStyle w:val="ListParagraph"/>
        <w:numPr>
          <w:ilvl w:val="0"/>
          <w:numId w:val="26"/>
        </w:numPr>
        <w:jc w:val="both"/>
        <w:rPr>
          <w:rFonts w:ascii="Times New Roman" w:hAnsi="Times New Roman"/>
          <w:b/>
          <w:i/>
          <w:sz w:val="20"/>
          <w:szCs w:val="20"/>
          <w:lang w:val="en-GB"/>
        </w:rPr>
      </w:pPr>
      <w:r w:rsidRPr="00B67F89">
        <w:rPr>
          <w:rFonts w:ascii="Times New Roman" w:hAnsi="Times New Roman"/>
          <w:b/>
          <w:i/>
          <w:sz w:val="20"/>
          <w:szCs w:val="20"/>
          <w:lang w:val="en-GB"/>
        </w:rPr>
        <w:t>Sharing semi-static resource reservation between eNB and gNB through X interface</w:t>
      </w:r>
      <w:r w:rsidR="00774CB6" w:rsidRPr="00B67F89">
        <w:rPr>
          <w:rFonts w:ascii="Times New Roman" w:hAnsi="Times New Roman"/>
          <w:b/>
          <w:i/>
          <w:sz w:val="20"/>
          <w:szCs w:val="20"/>
          <w:lang w:val="en-GB"/>
        </w:rPr>
        <w:t>.</w:t>
      </w:r>
    </w:p>
    <w:p w14:paraId="0F23D4A3" w14:textId="2CC08F81" w:rsidR="00B67F89" w:rsidRPr="00B67F89" w:rsidRDefault="00B67F89" w:rsidP="00B67F89">
      <w:pPr>
        <w:pStyle w:val="ListParagraph"/>
        <w:numPr>
          <w:ilvl w:val="0"/>
          <w:numId w:val="26"/>
        </w:numPr>
        <w:jc w:val="both"/>
        <w:rPr>
          <w:b/>
          <w:i/>
          <w:lang w:val="en-GB"/>
        </w:rPr>
      </w:pPr>
      <w:r>
        <w:rPr>
          <w:rFonts w:ascii="Times New Roman" w:hAnsi="Times New Roman"/>
          <w:b/>
          <w:i/>
          <w:sz w:val="20"/>
          <w:szCs w:val="20"/>
          <w:lang w:val="en-GB"/>
        </w:rPr>
        <w:t>LTE PDSCH</w:t>
      </w:r>
      <w:r w:rsidRPr="00B67F89">
        <w:rPr>
          <w:rFonts w:ascii="Times New Roman" w:hAnsi="Times New Roman"/>
          <w:b/>
          <w:i/>
          <w:sz w:val="20"/>
          <w:szCs w:val="20"/>
          <w:lang w:val="en-GB"/>
        </w:rPr>
        <w:t xml:space="preserve"> muting may be needed to skip the sub-frames without corresponding PUCCH opportunity</w:t>
      </w:r>
      <w:r w:rsidRPr="00B67F89">
        <w:rPr>
          <w:b/>
          <w:i/>
          <w:lang w:val="en-GB"/>
        </w:rPr>
        <w:t>.</w:t>
      </w:r>
    </w:p>
    <w:p w14:paraId="59BA2FF0" w14:textId="77777777" w:rsidR="00FA7EAA" w:rsidRDefault="00FA7EAA" w:rsidP="00FA7EAA">
      <w:pPr>
        <w:jc w:val="both"/>
        <w:rPr>
          <w:b/>
          <w:i/>
          <w:u w:val="single"/>
          <w:lang w:val="en-GB"/>
        </w:rPr>
      </w:pPr>
    </w:p>
    <w:p w14:paraId="60003FD7" w14:textId="6AD385F6" w:rsidR="0042394B" w:rsidRPr="00B67F89" w:rsidRDefault="0042394B" w:rsidP="0042394B">
      <w:pPr>
        <w:jc w:val="both"/>
        <w:rPr>
          <w:b/>
          <w:i/>
          <w:lang w:val="en-GB"/>
        </w:rPr>
      </w:pPr>
      <w:r>
        <w:rPr>
          <w:b/>
          <w:i/>
          <w:u w:val="single"/>
          <w:lang w:val="en-GB"/>
        </w:rPr>
        <w:t>Proposal 1</w:t>
      </w:r>
      <w:r w:rsidR="00FA7EAA" w:rsidRPr="00D33EC1">
        <w:rPr>
          <w:b/>
          <w:i/>
          <w:lang w:val="en-GB"/>
        </w:rPr>
        <w:t xml:space="preserve">: </w:t>
      </w:r>
      <w:r>
        <w:rPr>
          <w:b/>
          <w:i/>
          <w:lang w:val="en-GB"/>
        </w:rPr>
        <w:t>For t</w:t>
      </w:r>
      <w:r w:rsidR="00FA7EAA">
        <w:rPr>
          <w:b/>
          <w:i/>
          <w:lang w:val="en-GB"/>
        </w:rPr>
        <w:t>he physical layer TDM approach</w:t>
      </w:r>
      <w:r>
        <w:rPr>
          <w:b/>
          <w:i/>
          <w:lang w:val="en-GB"/>
        </w:rPr>
        <w:t>, the two RATs uplinks can be configured either on the same (LTE) frequency, or on different frequencies, depending on whether the LTE cell support LTE/NR coexistence.</w:t>
      </w:r>
      <w:r w:rsidR="00FA7EAA">
        <w:rPr>
          <w:b/>
          <w:i/>
          <w:lang w:val="en-GB"/>
        </w:rPr>
        <w:t xml:space="preserve"> </w:t>
      </w:r>
    </w:p>
    <w:p w14:paraId="077F91BF" w14:textId="0FB022D7" w:rsidR="009E54E4" w:rsidRPr="00B5505B" w:rsidRDefault="009E54E4" w:rsidP="00FA7EAA"/>
    <w:p w14:paraId="2EED553D" w14:textId="166FABCC" w:rsidR="00333C40" w:rsidRDefault="00B5505B" w:rsidP="00333C40">
      <w:pPr>
        <w:pStyle w:val="Heading1"/>
      </w:pPr>
      <w:bookmarkStart w:id="5" w:name="_Ref485320707"/>
      <w:r>
        <w:t>Physical layer FDM approach</w:t>
      </w:r>
      <w:bookmarkEnd w:id="5"/>
    </w:p>
    <w:p w14:paraId="10349475" w14:textId="2B29102B" w:rsidR="00F82FCF" w:rsidRDefault="00B51E19" w:rsidP="00363F86">
      <w:pPr>
        <w:jc w:val="both"/>
        <w:rPr>
          <w:lang w:val="en-GB"/>
        </w:rPr>
      </w:pPr>
      <w:r>
        <w:rPr>
          <w:lang w:val="en-GB"/>
        </w:rPr>
        <w:t>Another alternative approach to send the two RAT’s uplinks on the same frequency is to FDM the two waveforms on physical layer</w:t>
      </w:r>
      <w:r w:rsidR="00AB2832">
        <w:rPr>
          <w:lang w:val="en-GB"/>
        </w:rPr>
        <w:t>, where the two RATs can use different RBs on the same carrier at the same time</w:t>
      </w:r>
      <w:r w:rsidR="00363F86">
        <w:rPr>
          <w:lang w:val="en-GB"/>
        </w:rPr>
        <w:t xml:space="preserve"> as shown in </w:t>
      </w:r>
      <w:r w:rsidR="00363F86">
        <w:rPr>
          <w:lang w:val="en-GB"/>
        </w:rPr>
        <w:fldChar w:fldCharType="begin"/>
      </w:r>
      <w:r w:rsidR="00363F86">
        <w:rPr>
          <w:lang w:val="en-GB"/>
        </w:rPr>
        <w:instrText xml:space="preserve"> REF _Ref485293250 \h </w:instrText>
      </w:r>
      <w:r w:rsidR="00363F86">
        <w:rPr>
          <w:lang w:val="en-GB"/>
        </w:rPr>
      </w:r>
      <w:r w:rsidR="00363F86">
        <w:rPr>
          <w:lang w:val="en-GB"/>
        </w:rPr>
        <w:fldChar w:fldCharType="separate"/>
      </w:r>
      <w:r w:rsidR="00106DF3">
        <w:t xml:space="preserve">Figure </w:t>
      </w:r>
      <w:r w:rsidR="00106DF3">
        <w:rPr>
          <w:noProof/>
        </w:rPr>
        <w:t>6</w:t>
      </w:r>
      <w:r w:rsidR="00363F86">
        <w:rPr>
          <w:lang w:val="en-GB"/>
        </w:rPr>
        <w:fldChar w:fldCharType="end"/>
      </w:r>
      <w:r>
        <w:rPr>
          <w:lang w:val="en-GB"/>
        </w:rPr>
        <w:t xml:space="preserve">. </w:t>
      </w:r>
      <w:r w:rsidR="001517FB">
        <w:rPr>
          <w:lang w:val="en-GB"/>
        </w:rPr>
        <w:t xml:space="preserve">In </w:t>
      </w:r>
      <w:r w:rsidR="001517FB">
        <w:rPr>
          <w:lang w:val="en-GB"/>
        </w:rPr>
        <w:fldChar w:fldCharType="begin"/>
      </w:r>
      <w:r w:rsidR="001517FB">
        <w:rPr>
          <w:lang w:val="en-GB"/>
        </w:rPr>
        <w:instrText xml:space="preserve"> REF _Ref485293250 \h </w:instrText>
      </w:r>
      <w:r w:rsidR="001517FB">
        <w:rPr>
          <w:lang w:val="en-GB"/>
        </w:rPr>
      </w:r>
      <w:r w:rsidR="001517FB">
        <w:rPr>
          <w:lang w:val="en-GB"/>
        </w:rPr>
        <w:fldChar w:fldCharType="separate"/>
      </w:r>
      <w:r w:rsidR="00106DF3">
        <w:t xml:space="preserve">Figure </w:t>
      </w:r>
      <w:r w:rsidR="00106DF3">
        <w:rPr>
          <w:noProof/>
        </w:rPr>
        <w:t>6</w:t>
      </w:r>
      <w:r w:rsidR="001517FB">
        <w:rPr>
          <w:lang w:val="en-GB"/>
        </w:rPr>
        <w:fldChar w:fldCharType="end"/>
      </w:r>
      <w:r w:rsidR="001517FB">
        <w:rPr>
          <w:lang w:val="en-GB"/>
        </w:rPr>
        <w:t xml:space="preserve">, UE1 represent the legacy LTE UE without NR support, and UE2 represent the new NR capable UE that operating in NSA mode. </w:t>
      </w:r>
      <w:r>
        <w:rPr>
          <w:lang w:val="en-GB"/>
        </w:rPr>
        <w:t>Similar as the TDM approach, it also requires</w:t>
      </w:r>
      <w:r w:rsidR="004A03B7">
        <w:rPr>
          <w:lang w:val="en-GB"/>
        </w:rPr>
        <w:t xml:space="preserve"> synchronization between the eNB and gNB</w:t>
      </w:r>
      <w:r w:rsidR="00CA187E">
        <w:rPr>
          <w:lang w:val="en-GB"/>
        </w:rPr>
        <w:t>, which is typically achievable when the eNB and gNB are co-located.</w:t>
      </w:r>
    </w:p>
    <w:p w14:paraId="31F8D680" w14:textId="410B83E6" w:rsidR="00363F86" w:rsidRDefault="00363F86" w:rsidP="00363F86">
      <w:pPr>
        <w:jc w:val="center"/>
        <w:rPr>
          <w:lang w:val="en-GB"/>
        </w:rPr>
      </w:pPr>
      <w:r w:rsidRPr="00363F86">
        <w:rPr>
          <w:noProof/>
        </w:rPr>
        <w:drawing>
          <wp:inline distT="0" distB="0" distL="0" distR="0" wp14:anchorId="71CFE10C" wp14:editId="7DED0270">
            <wp:extent cx="4224528" cy="135331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24528" cy="1353312"/>
                    </a:xfrm>
                    <a:prstGeom prst="rect">
                      <a:avLst/>
                    </a:prstGeom>
                  </pic:spPr>
                </pic:pic>
              </a:graphicData>
            </a:graphic>
          </wp:inline>
        </w:drawing>
      </w:r>
    </w:p>
    <w:p w14:paraId="362D6E93" w14:textId="3B816B86" w:rsidR="00363F86" w:rsidRDefault="00363F86" w:rsidP="00363F86">
      <w:pPr>
        <w:pStyle w:val="Caption"/>
        <w:jc w:val="center"/>
        <w:rPr>
          <w:lang w:val="en-GB"/>
        </w:rPr>
      </w:pPr>
      <w:bookmarkStart w:id="6" w:name="_Ref485293250"/>
      <w:r>
        <w:t xml:space="preserve">Figure </w:t>
      </w:r>
      <w:r w:rsidR="008741E3">
        <w:fldChar w:fldCharType="begin"/>
      </w:r>
      <w:r w:rsidR="008741E3">
        <w:instrText xml:space="preserve"> SEQ Figure \* ARABIC </w:instrText>
      </w:r>
      <w:r w:rsidR="008741E3">
        <w:fldChar w:fldCharType="separate"/>
      </w:r>
      <w:r w:rsidR="00106DF3">
        <w:rPr>
          <w:noProof/>
        </w:rPr>
        <w:t>6</w:t>
      </w:r>
      <w:r w:rsidR="008741E3">
        <w:rPr>
          <w:noProof/>
        </w:rPr>
        <w:fldChar w:fldCharType="end"/>
      </w:r>
      <w:bookmarkEnd w:id="6"/>
      <w:r>
        <w:t xml:space="preserve"> FDM of two RATs uplink from a single UE on the same carrier</w:t>
      </w:r>
    </w:p>
    <w:p w14:paraId="5FF430B8" w14:textId="04ED0E5C" w:rsidR="00CA187E" w:rsidRDefault="00CA187E" w:rsidP="00CA187E">
      <w:pPr>
        <w:pStyle w:val="Heading2"/>
      </w:pPr>
      <w:r>
        <w:t>Potential specification and implementation impacts</w:t>
      </w:r>
    </w:p>
    <w:p w14:paraId="214BB439" w14:textId="6F75DE2C" w:rsidR="00465579" w:rsidRDefault="00465579" w:rsidP="00465579">
      <w:pPr>
        <w:pStyle w:val="Heading3"/>
      </w:pPr>
      <w:r>
        <w:t>X2 interface</w:t>
      </w:r>
    </w:p>
    <w:p w14:paraId="704DB06B" w14:textId="3E5A93EF" w:rsidR="00465579" w:rsidRDefault="00615EE6" w:rsidP="0015013E">
      <w:pPr>
        <w:jc w:val="both"/>
        <w:rPr>
          <w:lang w:val="en-GB"/>
        </w:rPr>
      </w:pPr>
      <w:r>
        <w:rPr>
          <w:lang w:val="en-GB"/>
        </w:rPr>
        <w:t>Similar as the TDM approach, those semi-statically reserved LTE</w:t>
      </w:r>
      <w:r w:rsidR="00465579">
        <w:rPr>
          <w:lang w:val="en-GB"/>
        </w:rPr>
        <w:t xml:space="preserve"> control resources including PUCCH, SRS, and RACH resources</w:t>
      </w:r>
      <w:r w:rsidR="00AB2832">
        <w:rPr>
          <w:lang w:val="en-GB"/>
        </w:rPr>
        <w:t>, need to be avoided by the NR scheduler</w:t>
      </w:r>
      <w:r w:rsidR="00465579">
        <w:rPr>
          <w:lang w:val="en-GB"/>
        </w:rPr>
        <w:t>. Those resources need to reserved when TDM the two uplinks from two RATs.</w:t>
      </w:r>
    </w:p>
    <w:p w14:paraId="7A2B642C" w14:textId="0C76BD68" w:rsidR="003B39FA" w:rsidRDefault="008B3A23" w:rsidP="006D5B1F">
      <w:pPr>
        <w:pStyle w:val="Heading3"/>
      </w:pPr>
      <w:r>
        <w:t xml:space="preserve">Uplink </w:t>
      </w:r>
      <w:r w:rsidR="006D5B1F">
        <w:t>FDM resource allocation</w:t>
      </w:r>
    </w:p>
    <w:p w14:paraId="01C2A0C0" w14:textId="77777777" w:rsidR="006165D6" w:rsidRDefault="006D5B1F" w:rsidP="0015013E">
      <w:pPr>
        <w:jc w:val="both"/>
        <w:rPr>
          <w:lang w:val="en-GB"/>
        </w:rPr>
      </w:pPr>
      <w:r>
        <w:rPr>
          <w:lang w:val="en-GB"/>
        </w:rPr>
        <w:t xml:space="preserve">Since </w:t>
      </w:r>
      <w:r w:rsidR="001B03A4">
        <w:rPr>
          <w:lang w:val="en-GB"/>
        </w:rPr>
        <w:t xml:space="preserve">the two RATs need to FDM uplink resource </w:t>
      </w:r>
      <w:r w:rsidR="001B03A4" w:rsidRPr="00367344">
        <w:rPr>
          <w:i/>
          <w:lang w:val="en-GB"/>
        </w:rPr>
        <w:t>at RB level</w:t>
      </w:r>
      <w:r w:rsidR="001B03A4">
        <w:rPr>
          <w:lang w:val="en-GB"/>
        </w:rPr>
        <w:t xml:space="preserve">, scheduling information exchange between the eNB and gNB schedulers is needed. How fast such scheduling information exchange is required depends on how advanced the scheduler implementations are. </w:t>
      </w:r>
    </w:p>
    <w:p w14:paraId="019E347D" w14:textId="229D8A51" w:rsidR="006D5B1F" w:rsidRDefault="001B03A4" w:rsidP="0015013E">
      <w:pPr>
        <w:jc w:val="both"/>
        <w:rPr>
          <w:lang w:val="en-GB"/>
        </w:rPr>
      </w:pPr>
      <w:r>
        <w:rPr>
          <w:lang w:val="en-GB"/>
        </w:rPr>
        <w:t>A simpler implementation is to hav</w:t>
      </w:r>
      <w:r w:rsidR="00D90197">
        <w:rPr>
          <w:lang w:val="en-GB"/>
        </w:rPr>
        <w:t>e semi-static RB reservation within</w:t>
      </w:r>
      <w:r>
        <w:rPr>
          <w:lang w:val="en-GB"/>
        </w:rPr>
        <w:t xml:space="preserve"> the </w:t>
      </w:r>
      <w:r w:rsidR="00D90197">
        <w:rPr>
          <w:lang w:val="en-GB"/>
        </w:rPr>
        <w:t>eNB scheduler and gNB scheduler, respectively, which relax the requirements on how fast the scheduling information should be exchanged between the two RATs. On the other hand, the semi-static reservation could still adapt to the NR UE penetration within the network, but at a much longer time scale than sub-frame level scheduling resolution.</w:t>
      </w:r>
    </w:p>
    <w:p w14:paraId="2995A9C5" w14:textId="54E22839" w:rsidR="004775D8" w:rsidRDefault="00E9390E" w:rsidP="00E9390E">
      <w:pPr>
        <w:pStyle w:val="Heading3"/>
      </w:pPr>
      <w:r>
        <w:t>UE implementation</w:t>
      </w:r>
      <w:r w:rsidR="00BB0469">
        <w:t xml:space="preserve"> and RF impact</w:t>
      </w:r>
    </w:p>
    <w:p w14:paraId="385809FF" w14:textId="3F733FA0" w:rsidR="001517FB" w:rsidRDefault="002F5C1A" w:rsidP="0015013E">
      <w:pPr>
        <w:jc w:val="both"/>
        <w:rPr>
          <w:lang w:val="en-GB"/>
        </w:rPr>
      </w:pPr>
      <w:r>
        <w:rPr>
          <w:lang w:val="en-GB"/>
        </w:rPr>
        <w:t xml:space="preserve">From UE </w:t>
      </w:r>
      <w:r w:rsidR="008436BB">
        <w:rPr>
          <w:lang w:val="en-GB"/>
        </w:rPr>
        <w:t xml:space="preserve">implementation </w:t>
      </w:r>
      <w:r>
        <w:rPr>
          <w:lang w:val="en-GB"/>
        </w:rPr>
        <w:t>perspective</w:t>
      </w:r>
      <w:r w:rsidR="008436BB">
        <w:rPr>
          <w:lang w:val="en-GB"/>
        </w:rPr>
        <w:t>, the simplest way to FDM LTE and NR uplink in the same carrier is to multiplex the two signals in baseband</w:t>
      </w:r>
      <w:r w:rsidR="0015013E">
        <w:rPr>
          <w:lang w:val="en-GB"/>
        </w:rPr>
        <w:t>. This again assumes that the t</w:t>
      </w:r>
      <w:r w:rsidR="001517FB">
        <w:rPr>
          <w:lang w:val="en-GB"/>
        </w:rPr>
        <w:t>wo uplinks are synchronized,</w:t>
      </w:r>
      <w:r w:rsidR="0015013E">
        <w:rPr>
          <w:lang w:val="en-GB"/>
        </w:rPr>
        <w:t xml:space="preserve"> use the s</w:t>
      </w:r>
      <w:r w:rsidR="001517FB">
        <w:rPr>
          <w:lang w:val="en-GB"/>
        </w:rPr>
        <w:t xml:space="preserve">ame numerology (i.e. SCS=15Khz), and preferably </w:t>
      </w:r>
      <w:r w:rsidR="005F3509">
        <w:rPr>
          <w:lang w:val="en-GB"/>
        </w:rPr>
        <w:t>the tone</w:t>
      </w:r>
      <w:r w:rsidR="001517FB">
        <w:rPr>
          <w:lang w:val="en-GB"/>
        </w:rPr>
        <w:t xml:space="preserve"> grid is also aligned</w:t>
      </w:r>
      <w:r w:rsidR="0009392B">
        <w:rPr>
          <w:lang w:val="en-GB"/>
        </w:rPr>
        <w:t xml:space="preserve"> </w:t>
      </w:r>
      <w:r w:rsidR="005F3509">
        <w:rPr>
          <w:lang w:val="en-GB"/>
        </w:rPr>
        <w:t xml:space="preserve">if FDM of two RATs on the same carrier is adopted (e.g. by </w:t>
      </w:r>
      <w:r w:rsidR="005F3509">
        <w:rPr>
          <w:lang w:val="en-GB"/>
        </w:rPr>
        <w:lastRenderedPageBreak/>
        <w:t>shifting the uplink channel raster of NR by 7.5kHz in that specific band).</w:t>
      </w:r>
      <w:r w:rsidR="00664FB6">
        <w:rPr>
          <w:lang w:val="en-GB"/>
        </w:rPr>
        <w:t xml:space="preserve"> The UE transmit waveform synthesis for uplink FDM of 2 RAT uplinks on the same carrier is illustrated in </w:t>
      </w:r>
      <w:r w:rsidR="00664FB6">
        <w:rPr>
          <w:lang w:val="en-GB"/>
        </w:rPr>
        <w:fldChar w:fldCharType="begin"/>
      </w:r>
      <w:r w:rsidR="00664FB6">
        <w:rPr>
          <w:lang w:val="en-GB"/>
        </w:rPr>
        <w:instrText xml:space="preserve"> REF _Ref485309121 \h </w:instrText>
      </w:r>
      <w:r w:rsidR="00664FB6">
        <w:rPr>
          <w:lang w:val="en-GB"/>
        </w:rPr>
      </w:r>
      <w:r w:rsidR="00664FB6">
        <w:rPr>
          <w:lang w:val="en-GB"/>
        </w:rPr>
        <w:fldChar w:fldCharType="separate"/>
      </w:r>
      <w:r w:rsidR="00106DF3">
        <w:t xml:space="preserve">Figure </w:t>
      </w:r>
      <w:r w:rsidR="00106DF3">
        <w:rPr>
          <w:noProof/>
        </w:rPr>
        <w:t>7</w:t>
      </w:r>
      <w:r w:rsidR="00664FB6">
        <w:rPr>
          <w:lang w:val="en-GB"/>
        </w:rPr>
        <w:fldChar w:fldCharType="end"/>
      </w:r>
      <w:r w:rsidR="00127B9E">
        <w:rPr>
          <w:lang w:val="en-GB"/>
        </w:rPr>
        <w:t xml:space="preserve">. </w:t>
      </w:r>
    </w:p>
    <w:p w14:paraId="4708E9A0" w14:textId="5AFC87D4" w:rsidR="00E94E80" w:rsidRDefault="00957DD6" w:rsidP="00957DD6">
      <w:pPr>
        <w:jc w:val="center"/>
        <w:rPr>
          <w:lang w:val="en-GB"/>
        </w:rPr>
      </w:pPr>
      <w:r w:rsidRPr="00957DD6">
        <w:rPr>
          <w:noProof/>
        </w:rPr>
        <w:drawing>
          <wp:inline distT="0" distB="0" distL="0" distR="0" wp14:anchorId="24F3A476" wp14:editId="7A9BBDB5">
            <wp:extent cx="4005072" cy="1207008"/>
            <wp:effectExtent l="0" t="0" r="825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05072" cy="1207008"/>
                    </a:xfrm>
                    <a:prstGeom prst="rect">
                      <a:avLst/>
                    </a:prstGeom>
                  </pic:spPr>
                </pic:pic>
              </a:graphicData>
            </a:graphic>
          </wp:inline>
        </w:drawing>
      </w:r>
    </w:p>
    <w:p w14:paraId="43C9CA74" w14:textId="69DC711C" w:rsidR="00957DD6" w:rsidRPr="002F5C1A" w:rsidRDefault="00957DD6" w:rsidP="00957DD6">
      <w:pPr>
        <w:pStyle w:val="Caption"/>
        <w:jc w:val="center"/>
        <w:rPr>
          <w:lang w:val="en-GB"/>
        </w:rPr>
      </w:pPr>
      <w:bookmarkStart w:id="7" w:name="_Ref485309121"/>
      <w:r>
        <w:t xml:space="preserve">Figure </w:t>
      </w:r>
      <w:r w:rsidR="008741E3">
        <w:fldChar w:fldCharType="begin"/>
      </w:r>
      <w:r w:rsidR="008741E3">
        <w:instrText xml:space="preserve"> SEQ Figure \* ARABIC </w:instrText>
      </w:r>
      <w:r w:rsidR="008741E3">
        <w:fldChar w:fldCharType="separate"/>
      </w:r>
      <w:r w:rsidR="00106DF3">
        <w:rPr>
          <w:noProof/>
        </w:rPr>
        <w:t>7</w:t>
      </w:r>
      <w:r w:rsidR="008741E3">
        <w:rPr>
          <w:noProof/>
        </w:rPr>
        <w:fldChar w:fldCharType="end"/>
      </w:r>
      <w:bookmarkEnd w:id="7"/>
      <w:r>
        <w:t xml:space="preserve"> UE waveform synthesis for uplink FDM</w:t>
      </w:r>
    </w:p>
    <w:p w14:paraId="1BAE25E8" w14:textId="1DAA8C07" w:rsidR="000F60F5" w:rsidRDefault="00B73BF4" w:rsidP="00733A70">
      <w:pPr>
        <w:rPr>
          <w:lang w:val="en-GB"/>
        </w:rPr>
      </w:pPr>
      <w:r>
        <w:rPr>
          <w:lang w:val="en-GB"/>
        </w:rPr>
        <w:t>One</w:t>
      </w:r>
      <w:r w:rsidR="005F3509">
        <w:rPr>
          <w:lang w:val="en-GB"/>
        </w:rPr>
        <w:t xml:space="preserve"> concern</w:t>
      </w:r>
      <w:r w:rsidR="00E002D8">
        <w:rPr>
          <w:lang w:val="en-GB"/>
        </w:rPr>
        <w:t xml:space="preserve"> over the FDM approach is the </w:t>
      </w:r>
      <w:r w:rsidR="00664FB6">
        <w:rPr>
          <w:lang w:val="en-GB"/>
        </w:rPr>
        <w:t xml:space="preserve">potential </w:t>
      </w:r>
      <w:r>
        <w:rPr>
          <w:lang w:val="en-GB"/>
        </w:rPr>
        <w:t>impact to UE’s maximal t</w:t>
      </w:r>
      <w:r w:rsidR="006D1E8B">
        <w:rPr>
          <w:lang w:val="en-GB"/>
        </w:rPr>
        <w:t xml:space="preserve">ransmit power in the LTE band. Since the 2 uplink signals </w:t>
      </w:r>
      <w:r w:rsidR="00F33031">
        <w:rPr>
          <w:lang w:val="en-GB"/>
        </w:rPr>
        <w:t>are scheduled by LTE scheduler and NR scheduler, respectively, a larger MPR is likely required to meet the existing emission requirements.</w:t>
      </w:r>
    </w:p>
    <w:p w14:paraId="27242B9E" w14:textId="6B1CAD8A" w:rsidR="00961DE0" w:rsidRDefault="00961DE0" w:rsidP="00961DE0">
      <w:pPr>
        <w:jc w:val="both"/>
        <w:rPr>
          <w:b/>
          <w:i/>
          <w:lang w:val="en-GB"/>
        </w:rPr>
      </w:pPr>
      <w:r>
        <w:rPr>
          <w:b/>
          <w:i/>
          <w:u w:val="single"/>
          <w:lang w:val="en-GB"/>
        </w:rPr>
        <w:t>Observation</w:t>
      </w:r>
      <w:r w:rsidRPr="00D33EC1">
        <w:rPr>
          <w:b/>
          <w:i/>
          <w:u w:val="single"/>
          <w:lang w:val="en-GB"/>
        </w:rPr>
        <w:t xml:space="preserve"> </w:t>
      </w:r>
      <w:r>
        <w:rPr>
          <w:b/>
          <w:i/>
          <w:u w:val="single"/>
          <w:lang w:val="en-GB"/>
        </w:rPr>
        <w:t>2</w:t>
      </w:r>
      <w:r w:rsidRPr="00D33EC1">
        <w:rPr>
          <w:b/>
          <w:i/>
          <w:lang w:val="en-GB"/>
        </w:rPr>
        <w:t xml:space="preserve">: </w:t>
      </w:r>
      <w:r>
        <w:rPr>
          <w:b/>
          <w:i/>
          <w:lang w:val="en-GB"/>
        </w:rPr>
        <w:t>The physical layer FDM approach requires the following:</w:t>
      </w:r>
    </w:p>
    <w:p w14:paraId="31AA0D96" w14:textId="77777777" w:rsidR="00961DE0" w:rsidRPr="00B67F89" w:rsidRDefault="00961DE0" w:rsidP="00961DE0">
      <w:pPr>
        <w:pStyle w:val="ListParagraph"/>
        <w:numPr>
          <w:ilvl w:val="0"/>
          <w:numId w:val="26"/>
        </w:numPr>
        <w:jc w:val="both"/>
        <w:rPr>
          <w:rFonts w:ascii="Times New Roman" w:hAnsi="Times New Roman"/>
          <w:b/>
          <w:i/>
          <w:sz w:val="20"/>
          <w:szCs w:val="20"/>
          <w:lang w:val="en-GB"/>
        </w:rPr>
      </w:pPr>
      <w:r w:rsidRPr="00B67F89">
        <w:rPr>
          <w:rFonts w:ascii="Times New Roman" w:hAnsi="Times New Roman"/>
          <w:b/>
          <w:i/>
          <w:sz w:val="20"/>
          <w:szCs w:val="20"/>
          <w:lang w:val="en-GB"/>
        </w:rPr>
        <w:t xml:space="preserve">UL synchronization between eNB and gNB. </w:t>
      </w:r>
    </w:p>
    <w:p w14:paraId="21BA8BA2" w14:textId="4F4FBC9A" w:rsidR="008A54CE" w:rsidRPr="008A54CE" w:rsidRDefault="00961DE0" w:rsidP="008A54CE">
      <w:pPr>
        <w:pStyle w:val="ListParagraph"/>
        <w:numPr>
          <w:ilvl w:val="0"/>
          <w:numId w:val="26"/>
        </w:numPr>
        <w:jc w:val="both"/>
        <w:rPr>
          <w:rFonts w:ascii="Times New Roman" w:hAnsi="Times New Roman"/>
          <w:b/>
          <w:i/>
          <w:sz w:val="20"/>
          <w:szCs w:val="20"/>
          <w:lang w:val="en-GB"/>
        </w:rPr>
      </w:pPr>
      <w:r w:rsidRPr="00B67F89">
        <w:rPr>
          <w:rFonts w:ascii="Times New Roman" w:hAnsi="Times New Roman"/>
          <w:b/>
          <w:i/>
          <w:sz w:val="20"/>
          <w:szCs w:val="20"/>
          <w:lang w:val="en-GB"/>
        </w:rPr>
        <w:t>Sharing semi-static resource reservation between eNB and gNB through X interface.</w:t>
      </w:r>
    </w:p>
    <w:p w14:paraId="62A3CC08" w14:textId="77777777" w:rsidR="008A54CE" w:rsidRDefault="008A54CE" w:rsidP="008A54CE">
      <w:pPr>
        <w:jc w:val="both"/>
        <w:rPr>
          <w:b/>
          <w:i/>
          <w:u w:val="single"/>
          <w:lang w:val="en-GB"/>
        </w:rPr>
      </w:pPr>
    </w:p>
    <w:p w14:paraId="6F94D30F" w14:textId="50866312" w:rsidR="008A54CE" w:rsidRDefault="008A54CE" w:rsidP="008A54CE">
      <w:pPr>
        <w:jc w:val="both"/>
        <w:rPr>
          <w:b/>
          <w:i/>
          <w:lang w:val="en-GB"/>
        </w:rPr>
      </w:pPr>
      <w:r>
        <w:rPr>
          <w:b/>
          <w:i/>
          <w:u w:val="single"/>
          <w:lang w:val="en-GB"/>
        </w:rPr>
        <w:t>Observation</w:t>
      </w:r>
      <w:r w:rsidRPr="00D33EC1">
        <w:rPr>
          <w:b/>
          <w:i/>
          <w:u w:val="single"/>
          <w:lang w:val="en-GB"/>
        </w:rPr>
        <w:t xml:space="preserve"> </w:t>
      </w:r>
      <w:r>
        <w:rPr>
          <w:b/>
          <w:i/>
          <w:u w:val="single"/>
          <w:lang w:val="en-GB"/>
        </w:rPr>
        <w:t>3</w:t>
      </w:r>
      <w:r w:rsidRPr="00D33EC1">
        <w:rPr>
          <w:b/>
          <w:i/>
          <w:lang w:val="en-GB"/>
        </w:rPr>
        <w:t xml:space="preserve">: </w:t>
      </w:r>
      <w:r>
        <w:rPr>
          <w:b/>
          <w:i/>
          <w:lang w:val="en-GB"/>
        </w:rPr>
        <w:t xml:space="preserve">The physical layer FDM approach may lead to larger MPR and impact the </w:t>
      </w:r>
      <w:r w:rsidR="00123FDE">
        <w:rPr>
          <w:b/>
          <w:i/>
          <w:lang w:val="en-GB"/>
        </w:rPr>
        <w:t>coverage of NSA mode UE</w:t>
      </w:r>
      <w:r w:rsidRPr="00B67F89">
        <w:rPr>
          <w:b/>
          <w:i/>
          <w:lang w:val="en-GB"/>
        </w:rPr>
        <w:t>.</w:t>
      </w:r>
    </w:p>
    <w:p w14:paraId="29E7809A" w14:textId="77777777" w:rsidR="00EC77F1" w:rsidRDefault="00EC77F1" w:rsidP="00EC77F1">
      <w:pPr>
        <w:jc w:val="both"/>
        <w:rPr>
          <w:b/>
          <w:i/>
          <w:lang w:val="en-GB"/>
        </w:rPr>
      </w:pPr>
    </w:p>
    <w:p w14:paraId="76169DF5" w14:textId="75765073" w:rsidR="00EC77F1" w:rsidRPr="00EC77F1" w:rsidRDefault="009A2FE1" w:rsidP="00EC77F1">
      <w:pPr>
        <w:jc w:val="both"/>
        <w:rPr>
          <w:b/>
          <w:i/>
          <w:lang w:val="en-GB"/>
        </w:rPr>
      </w:pPr>
      <w:r w:rsidRPr="009A2FE1">
        <w:rPr>
          <w:b/>
          <w:i/>
          <w:u w:val="single"/>
          <w:lang w:val="en-GB"/>
        </w:rPr>
        <w:t xml:space="preserve">Proposal </w:t>
      </w:r>
      <w:r w:rsidR="0042394B">
        <w:rPr>
          <w:b/>
          <w:i/>
          <w:u w:val="single"/>
          <w:lang w:val="en-GB"/>
        </w:rPr>
        <w:t>2</w:t>
      </w:r>
      <w:r>
        <w:rPr>
          <w:b/>
          <w:i/>
          <w:lang w:val="en-GB"/>
        </w:rPr>
        <w:t xml:space="preserve">: For physical layer FDM approach, the transmitted </w:t>
      </w:r>
      <w:r w:rsidR="0042394B">
        <w:rPr>
          <w:b/>
          <w:i/>
          <w:lang w:val="en-GB"/>
        </w:rPr>
        <w:t xml:space="preserve">LTE and NR uplink </w:t>
      </w:r>
      <w:r>
        <w:rPr>
          <w:b/>
          <w:i/>
          <w:lang w:val="en-GB"/>
        </w:rPr>
        <w:t xml:space="preserve">waveform from </w:t>
      </w:r>
      <w:r w:rsidR="0042394B">
        <w:rPr>
          <w:b/>
          <w:i/>
          <w:lang w:val="en-GB"/>
        </w:rPr>
        <w:t>a particular UE</w:t>
      </w:r>
      <w:r>
        <w:rPr>
          <w:b/>
          <w:i/>
          <w:lang w:val="en-GB"/>
        </w:rPr>
        <w:t xml:space="preserve"> can be multiplexed in base</w:t>
      </w:r>
      <w:r w:rsidR="00AD1A91">
        <w:rPr>
          <w:b/>
          <w:i/>
          <w:lang w:val="en-GB"/>
        </w:rPr>
        <w:t>band, and it is desirable to have</w:t>
      </w:r>
      <w:r>
        <w:rPr>
          <w:b/>
          <w:i/>
          <w:lang w:val="en-GB"/>
        </w:rPr>
        <w:t xml:space="preserve"> the same numerology and tone grid within the LTE band.</w:t>
      </w:r>
    </w:p>
    <w:p w14:paraId="0699AEEC" w14:textId="372578BA" w:rsidR="00A41C14" w:rsidRDefault="00A41C14" w:rsidP="00733A70">
      <w:pPr>
        <w:pStyle w:val="Heading1"/>
      </w:pPr>
      <w:r>
        <w:t xml:space="preserve">MAC layer multiplexing with single </w:t>
      </w:r>
      <w:r w:rsidR="00BE58C4">
        <w:t xml:space="preserve">uplink </w:t>
      </w:r>
      <w:r>
        <w:t>waveform</w:t>
      </w:r>
    </w:p>
    <w:p w14:paraId="40CB1A88" w14:textId="3BB0A764" w:rsidR="000F60F5" w:rsidRDefault="000F60F5" w:rsidP="00FE2B0C">
      <w:pPr>
        <w:jc w:val="both"/>
        <w:rPr>
          <w:lang w:val="en-GB"/>
        </w:rPr>
      </w:pPr>
      <w:r>
        <w:rPr>
          <w:lang w:val="en-GB"/>
        </w:rPr>
        <w:t>To fully exploit the low latency advantage associated with the FDD uplink carrier and NR design, as well as to avoid the higher MPR</w:t>
      </w:r>
      <w:r w:rsidR="00202B0C">
        <w:rPr>
          <w:lang w:val="en-GB"/>
        </w:rPr>
        <w:t xml:space="preserve"> from the FDM approach</w:t>
      </w:r>
      <w:r w:rsidR="007B733A">
        <w:rPr>
          <w:lang w:val="en-GB"/>
        </w:rPr>
        <w:t>, the uplink sh</w:t>
      </w:r>
      <w:r w:rsidR="00BA0CD2">
        <w:rPr>
          <w:lang w:val="en-GB"/>
        </w:rPr>
        <w:t>aring can</w:t>
      </w:r>
      <w:r w:rsidR="00202B0C">
        <w:rPr>
          <w:lang w:val="en-GB"/>
        </w:rPr>
        <w:t xml:space="preserve"> also be implemented </w:t>
      </w:r>
      <w:r w:rsidR="003D67F9">
        <w:rPr>
          <w:lang w:val="en-GB"/>
        </w:rPr>
        <w:t>by multiplexing the two streams at NR-MAC layer and mapped to a single uplink waveform at physical</w:t>
      </w:r>
      <w:r w:rsidR="00BA0CD2">
        <w:rPr>
          <w:lang w:val="en-GB"/>
        </w:rPr>
        <w:t xml:space="preserve"> layer</w:t>
      </w:r>
      <w:r w:rsidR="003D67F9">
        <w:rPr>
          <w:lang w:val="en-GB"/>
        </w:rPr>
        <w:t xml:space="preserve">, as shown in </w:t>
      </w:r>
      <w:r w:rsidR="006819FF">
        <w:rPr>
          <w:lang w:val="en-GB"/>
        </w:rPr>
        <w:fldChar w:fldCharType="begin"/>
      </w:r>
      <w:r w:rsidR="006819FF">
        <w:rPr>
          <w:lang w:val="en-GB"/>
        </w:rPr>
        <w:instrText xml:space="preserve"> REF _Ref481703167 \h </w:instrText>
      </w:r>
      <w:r w:rsidR="006819FF">
        <w:rPr>
          <w:lang w:val="en-GB"/>
        </w:rPr>
      </w:r>
      <w:r w:rsidR="006819FF">
        <w:rPr>
          <w:lang w:val="en-GB"/>
        </w:rPr>
        <w:fldChar w:fldCharType="separate"/>
      </w:r>
      <w:r w:rsidR="00106DF3">
        <w:t xml:space="preserve">Figure </w:t>
      </w:r>
      <w:r w:rsidR="00106DF3">
        <w:rPr>
          <w:noProof/>
        </w:rPr>
        <w:t>8</w:t>
      </w:r>
      <w:r w:rsidR="006819FF">
        <w:rPr>
          <w:lang w:val="en-GB"/>
        </w:rPr>
        <w:fldChar w:fldCharType="end"/>
      </w:r>
      <w:r w:rsidR="006819FF">
        <w:rPr>
          <w:lang w:val="en-GB"/>
        </w:rPr>
        <w:t xml:space="preserve">. </w:t>
      </w:r>
    </w:p>
    <w:p w14:paraId="3AA4C121" w14:textId="77777777" w:rsidR="00D97982" w:rsidRDefault="00D97982" w:rsidP="00FE2B0C">
      <w:pPr>
        <w:jc w:val="both"/>
        <w:rPr>
          <w:lang w:val="en-GB"/>
        </w:rPr>
      </w:pPr>
    </w:p>
    <w:p w14:paraId="5C72DE8B" w14:textId="36791E07" w:rsidR="002615E6" w:rsidRDefault="002B221A" w:rsidP="002615E6">
      <w:pPr>
        <w:jc w:val="center"/>
        <w:rPr>
          <w:lang w:val="en-GB"/>
        </w:rPr>
      </w:pPr>
      <w:r w:rsidRPr="002B221A">
        <w:rPr>
          <w:noProof/>
        </w:rPr>
        <w:drawing>
          <wp:inline distT="0" distB="0" distL="0" distR="0" wp14:anchorId="5F81C3C3" wp14:editId="248D847D">
            <wp:extent cx="2313432" cy="25237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13432" cy="2523744"/>
                    </a:xfrm>
                    <a:prstGeom prst="rect">
                      <a:avLst/>
                    </a:prstGeom>
                  </pic:spPr>
                </pic:pic>
              </a:graphicData>
            </a:graphic>
          </wp:inline>
        </w:drawing>
      </w:r>
    </w:p>
    <w:p w14:paraId="64C47B5D" w14:textId="5DAAE5B0" w:rsidR="002615E6" w:rsidRDefault="002615E6" w:rsidP="002615E6">
      <w:pPr>
        <w:pStyle w:val="Caption"/>
        <w:jc w:val="center"/>
        <w:rPr>
          <w:lang w:val="en-GB"/>
        </w:rPr>
      </w:pPr>
      <w:bookmarkStart w:id="8" w:name="_Ref481703167"/>
      <w:r>
        <w:t xml:space="preserve">Figure </w:t>
      </w:r>
      <w:r w:rsidR="008741E3">
        <w:fldChar w:fldCharType="begin"/>
      </w:r>
      <w:r w:rsidR="008741E3">
        <w:instrText xml:space="preserve"> SEQ Figure \* ARABIC </w:instrText>
      </w:r>
      <w:r w:rsidR="008741E3">
        <w:fldChar w:fldCharType="separate"/>
      </w:r>
      <w:r w:rsidR="00106DF3">
        <w:rPr>
          <w:noProof/>
        </w:rPr>
        <w:t>8</w:t>
      </w:r>
      <w:r w:rsidR="008741E3">
        <w:rPr>
          <w:noProof/>
        </w:rPr>
        <w:fldChar w:fldCharType="end"/>
      </w:r>
      <w:bookmarkEnd w:id="8"/>
      <w:r>
        <w:t xml:space="preserve"> MAC layer multiplexing of NR and LTE uplink waveforms from the same UE</w:t>
      </w:r>
    </w:p>
    <w:p w14:paraId="75603913" w14:textId="7656F6ED" w:rsidR="007E47E2" w:rsidRDefault="007E47E2" w:rsidP="004B118E">
      <w:pPr>
        <w:jc w:val="both"/>
        <w:rPr>
          <w:lang w:val="en-GB"/>
        </w:rPr>
      </w:pPr>
      <w:r>
        <w:rPr>
          <w:lang w:val="en-GB"/>
        </w:rPr>
        <w:lastRenderedPageBreak/>
        <w:t xml:space="preserve">With the MAC multiplexing approach, the LTE signalling radio bearer (SRB) will be associated </w:t>
      </w:r>
      <w:r w:rsidR="000121EB">
        <w:rPr>
          <w:lang w:val="en-GB"/>
        </w:rPr>
        <w:t>with a LTE-PDCP</w:t>
      </w:r>
      <w:r w:rsidR="00D17F1A">
        <w:rPr>
          <w:lang w:val="en-GB"/>
        </w:rPr>
        <w:t xml:space="preserve"> entity and a LTE-RLC entity. After </w:t>
      </w:r>
      <w:r w:rsidR="000121EB">
        <w:rPr>
          <w:lang w:val="en-GB"/>
        </w:rPr>
        <w:t xml:space="preserve">a </w:t>
      </w:r>
      <w:r w:rsidR="00D17F1A">
        <w:rPr>
          <w:lang w:val="en-GB"/>
        </w:rPr>
        <w:t>UE is reconfigured to operate in LTE-NR DC mode by the LTE eNB, the LTE logical channels are routed (mapped) to the new NR-MAC for all uplink payload.</w:t>
      </w:r>
      <w:r w:rsidR="000121EB">
        <w:rPr>
          <w:lang w:val="en-GB"/>
        </w:rPr>
        <w:t xml:space="preserve"> The NR-MAC will then be serviced only by NR physical layer in the uplink.</w:t>
      </w:r>
      <w:r w:rsidR="00D874A8">
        <w:rPr>
          <w:lang w:val="en-GB"/>
        </w:rPr>
        <w:t xml:space="preserve"> Therefore, </w:t>
      </w:r>
      <w:r w:rsidR="00864012">
        <w:rPr>
          <w:lang w:val="en-GB"/>
        </w:rPr>
        <w:t xml:space="preserve">there is </w:t>
      </w:r>
      <w:r w:rsidR="005752E8">
        <w:rPr>
          <w:lang w:val="en-GB"/>
        </w:rPr>
        <w:t xml:space="preserve">only 1 physical layer waveform for all the </w:t>
      </w:r>
      <w:r w:rsidR="00F103C6">
        <w:rPr>
          <w:lang w:val="en-GB"/>
        </w:rPr>
        <w:t xml:space="preserve">uplink </w:t>
      </w:r>
      <w:r w:rsidR="005752E8">
        <w:rPr>
          <w:lang w:val="en-GB"/>
        </w:rPr>
        <w:t>payload data.</w:t>
      </w:r>
    </w:p>
    <w:p w14:paraId="73CA67D1" w14:textId="2287E48C" w:rsidR="009E54E4" w:rsidRDefault="009E54E4" w:rsidP="009E54E4">
      <w:pPr>
        <w:pStyle w:val="Heading2"/>
      </w:pPr>
      <w:r>
        <w:t>Potential specification and implementation impact</w:t>
      </w:r>
    </w:p>
    <w:p w14:paraId="4B2AC6F1" w14:textId="50621721" w:rsidR="005752E8" w:rsidRDefault="005752E8" w:rsidP="009E54E4">
      <w:pPr>
        <w:pStyle w:val="Heading3"/>
      </w:pPr>
      <w:r>
        <w:t>NR-MAC impact</w:t>
      </w:r>
    </w:p>
    <w:p w14:paraId="1E44D99A" w14:textId="549C9148" w:rsidR="00336FDC" w:rsidRDefault="00F103C6" w:rsidP="00F103C6">
      <w:pPr>
        <w:jc w:val="both"/>
        <w:rPr>
          <w:lang w:val="en-GB"/>
        </w:rPr>
      </w:pPr>
      <w:r>
        <w:rPr>
          <w:lang w:val="en-GB"/>
        </w:rPr>
        <w:t xml:space="preserve">As shown in </w:t>
      </w:r>
      <w:r>
        <w:rPr>
          <w:lang w:val="en-GB"/>
        </w:rPr>
        <w:fldChar w:fldCharType="begin"/>
      </w:r>
      <w:r>
        <w:rPr>
          <w:lang w:val="en-GB"/>
        </w:rPr>
        <w:instrText xml:space="preserve"> REF _Ref481703167 \h </w:instrText>
      </w:r>
      <w:r>
        <w:rPr>
          <w:lang w:val="en-GB"/>
        </w:rPr>
      </w:r>
      <w:r>
        <w:rPr>
          <w:lang w:val="en-GB"/>
        </w:rPr>
        <w:fldChar w:fldCharType="separate"/>
      </w:r>
      <w:r w:rsidR="00106DF3">
        <w:t xml:space="preserve">Figure </w:t>
      </w:r>
      <w:r w:rsidR="00106DF3">
        <w:rPr>
          <w:noProof/>
        </w:rPr>
        <w:t>8</w:t>
      </w:r>
      <w:r>
        <w:rPr>
          <w:lang w:val="en-GB"/>
        </w:rPr>
        <w:fldChar w:fldCharType="end"/>
      </w:r>
      <w:r>
        <w:rPr>
          <w:lang w:val="en-GB"/>
        </w:rPr>
        <w:t xml:space="preserve">, the protocol layers above MAC are not </w:t>
      </w:r>
      <w:r w:rsidR="007D413C">
        <w:rPr>
          <w:lang w:val="en-GB"/>
        </w:rPr>
        <w:t xml:space="preserve">supposed to be </w:t>
      </w:r>
      <w:r>
        <w:rPr>
          <w:lang w:val="en-GB"/>
        </w:rPr>
        <w:t>impacted by the MAC multiplexing approach. For the new NR-MAC, the following changes are expected:</w:t>
      </w:r>
    </w:p>
    <w:p w14:paraId="02CABCBF" w14:textId="03DED3F2" w:rsidR="00F90A41" w:rsidRDefault="004952FB" w:rsidP="00F90A41">
      <w:pPr>
        <w:pStyle w:val="ListParagraph"/>
        <w:numPr>
          <w:ilvl w:val="0"/>
          <w:numId w:val="23"/>
        </w:numPr>
        <w:jc w:val="both"/>
        <w:rPr>
          <w:lang w:val="en-GB"/>
        </w:rPr>
      </w:pPr>
      <w:r>
        <w:rPr>
          <w:lang w:val="en-GB"/>
        </w:rPr>
        <w:t xml:space="preserve">NR MAC should be able to mux (demux) LTE logical channels </w:t>
      </w:r>
      <w:r w:rsidR="00364F52">
        <w:rPr>
          <w:lang w:val="en-GB"/>
        </w:rPr>
        <w:t>with (</w:t>
      </w:r>
      <w:r>
        <w:rPr>
          <w:lang w:val="en-GB"/>
        </w:rPr>
        <w:t>from</w:t>
      </w:r>
      <w:r w:rsidR="00364F52">
        <w:rPr>
          <w:lang w:val="en-GB"/>
        </w:rPr>
        <w:t>)</w:t>
      </w:r>
      <w:r>
        <w:rPr>
          <w:lang w:val="en-GB"/>
        </w:rPr>
        <w:t xml:space="preserve"> NR logical channels</w:t>
      </w:r>
      <w:r w:rsidR="00364F52">
        <w:rPr>
          <w:lang w:val="en-GB"/>
        </w:rPr>
        <w:t>.</w:t>
      </w:r>
    </w:p>
    <w:p w14:paraId="6C7C9EA3" w14:textId="3786F9E4" w:rsidR="00364F52" w:rsidRPr="00F90A41" w:rsidRDefault="00364F52" w:rsidP="00F90A41">
      <w:pPr>
        <w:pStyle w:val="ListParagraph"/>
        <w:numPr>
          <w:ilvl w:val="0"/>
          <w:numId w:val="23"/>
        </w:numPr>
        <w:jc w:val="both"/>
        <w:rPr>
          <w:lang w:val="en-GB"/>
        </w:rPr>
      </w:pPr>
      <w:r>
        <w:rPr>
          <w:lang w:val="en-GB"/>
        </w:rPr>
        <w:t>NR MAC at UE side should be able to handle UL logical channel prioritization (LCP) for logical channels from both RATs.</w:t>
      </w:r>
    </w:p>
    <w:p w14:paraId="147B11AF" w14:textId="440F7858" w:rsidR="005752E8" w:rsidRPr="005752E8" w:rsidRDefault="005752E8" w:rsidP="009E54E4">
      <w:pPr>
        <w:pStyle w:val="Heading3"/>
      </w:pPr>
      <w:r>
        <w:t>L1 uplink control impact</w:t>
      </w:r>
    </w:p>
    <w:p w14:paraId="1F7111C9" w14:textId="76075A3C" w:rsidR="00F14EB1" w:rsidRDefault="00F14EB1" w:rsidP="004B118E">
      <w:pPr>
        <w:jc w:val="both"/>
        <w:rPr>
          <w:lang w:val="en-GB"/>
        </w:rPr>
      </w:pPr>
      <w:r>
        <w:rPr>
          <w:lang w:val="en-GB"/>
        </w:rPr>
        <w:t xml:space="preserve">Similar as the physical layer multiplexing approaches discussed in section </w:t>
      </w:r>
      <w:r>
        <w:rPr>
          <w:lang w:val="en-GB"/>
        </w:rPr>
        <w:fldChar w:fldCharType="begin"/>
      </w:r>
      <w:r>
        <w:rPr>
          <w:lang w:val="en-GB"/>
        </w:rPr>
        <w:instrText xml:space="preserve"> REF _Ref485320695 \n \h </w:instrText>
      </w:r>
      <w:r>
        <w:rPr>
          <w:lang w:val="en-GB"/>
        </w:rPr>
      </w:r>
      <w:r>
        <w:rPr>
          <w:lang w:val="en-GB"/>
        </w:rPr>
        <w:fldChar w:fldCharType="separate"/>
      </w:r>
      <w:r w:rsidR="00106DF3">
        <w:rPr>
          <w:lang w:val="en-GB"/>
        </w:rPr>
        <w:t>2</w:t>
      </w:r>
      <w:r>
        <w:rPr>
          <w:lang w:val="en-GB"/>
        </w:rPr>
        <w:fldChar w:fldCharType="end"/>
      </w:r>
      <w:r>
        <w:rPr>
          <w:lang w:val="en-GB"/>
        </w:rPr>
        <w:t xml:space="preserve"> and section </w:t>
      </w:r>
      <w:r>
        <w:rPr>
          <w:lang w:val="en-GB"/>
        </w:rPr>
        <w:fldChar w:fldCharType="begin"/>
      </w:r>
      <w:r>
        <w:rPr>
          <w:lang w:val="en-GB"/>
        </w:rPr>
        <w:instrText xml:space="preserve"> REF _Ref485320707 \n \h </w:instrText>
      </w:r>
      <w:r>
        <w:rPr>
          <w:lang w:val="en-GB"/>
        </w:rPr>
      </w:r>
      <w:r>
        <w:rPr>
          <w:lang w:val="en-GB"/>
        </w:rPr>
        <w:fldChar w:fldCharType="separate"/>
      </w:r>
      <w:r w:rsidR="00106DF3">
        <w:rPr>
          <w:lang w:val="en-GB"/>
        </w:rPr>
        <w:t>3</w:t>
      </w:r>
      <w:r>
        <w:rPr>
          <w:lang w:val="en-GB"/>
        </w:rPr>
        <w:fldChar w:fldCharType="end"/>
      </w:r>
      <w:r>
        <w:rPr>
          <w:lang w:val="en-GB"/>
        </w:rPr>
        <w:t>, the MAC multiplexing of two RATs only applies to uplink transmissions of the two RATs.</w:t>
      </w:r>
      <w:r w:rsidR="00C12E3A">
        <w:rPr>
          <w:lang w:val="en-GB"/>
        </w:rPr>
        <w:t xml:space="preserve"> The downlink PDSCH can still be</w:t>
      </w:r>
      <w:r w:rsidR="00AC338B">
        <w:rPr>
          <w:lang w:val="en-GB"/>
        </w:rPr>
        <w:t xml:space="preserve"> transm</w:t>
      </w:r>
      <w:r w:rsidR="00C12E3A">
        <w:rPr>
          <w:lang w:val="en-GB"/>
        </w:rPr>
        <w:t>itted independently over the associated LTE DL and NR DL frequencies, respectively.</w:t>
      </w:r>
      <w:r w:rsidR="00A74E0E">
        <w:rPr>
          <w:lang w:val="en-GB"/>
        </w:rPr>
        <w:t xml:space="preserve"> </w:t>
      </w:r>
      <w:r w:rsidR="00C84192">
        <w:rPr>
          <w:lang w:val="en-GB"/>
        </w:rPr>
        <w:t xml:space="preserve">By default, there should be </w:t>
      </w:r>
      <w:r w:rsidR="002F0357">
        <w:rPr>
          <w:lang w:val="en-GB"/>
        </w:rPr>
        <w:t xml:space="preserve">separate </w:t>
      </w:r>
      <w:r w:rsidR="00C84192">
        <w:rPr>
          <w:lang w:val="en-GB"/>
        </w:rPr>
        <w:t xml:space="preserve">L1 uplink control </w:t>
      </w:r>
      <w:r w:rsidR="002F0357">
        <w:rPr>
          <w:lang w:val="en-GB"/>
        </w:rPr>
        <w:t>channels (e.g. ACK) to support PDSCH of the two RATs, respectively.</w:t>
      </w:r>
      <w:r w:rsidR="00D948AC">
        <w:rPr>
          <w:lang w:val="en-GB"/>
        </w:rPr>
        <w:t xml:space="preserve"> There are two options to send the uplink L1</w:t>
      </w:r>
      <w:r w:rsidR="0033685E">
        <w:rPr>
          <w:lang w:val="en-GB"/>
        </w:rPr>
        <w:t xml:space="preserve"> control:</w:t>
      </w:r>
    </w:p>
    <w:p w14:paraId="20F1C460" w14:textId="79DCFDDF" w:rsidR="0033685E" w:rsidRDefault="0033685E" w:rsidP="0033685E">
      <w:pPr>
        <w:pStyle w:val="ListParagraph"/>
        <w:numPr>
          <w:ilvl w:val="0"/>
          <w:numId w:val="24"/>
        </w:numPr>
        <w:jc w:val="both"/>
        <w:rPr>
          <w:lang w:val="en-GB"/>
        </w:rPr>
      </w:pPr>
      <w:r>
        <w:rPr>
          <w:lang w:val="en-GB"/>
        </w:rPr>
        <w:t>Option 1: multiplex t</w:t>
      </w:r>
      <w:r w:rsidR="00AA0C75">
        <w:rPr>
          <w:lang w:val="en-GB"/>
        </w:rPr>
        <w:t>he UCI from 2 RATs into a joint</w:t>
      </w:r>
      <w:r>
        <w:rPr>
          <w:lang w:val="en-GB"/>
        </w:rPr>
        <w:t xml:space="preserve"> </w:t>
      </w:r>
      <w:r w:rsidR="00AA0C75">
        <w:rPr>
          <w:lang w:val="en-GB"/>
        </w:rPr>
        <w:t xml:space="preserve">NR </w:t>
      </w:r>
      <w:r>
        <w:rPr>
          <w:lang w:val="en-GB"/>
        </w:rPr>
        <w:t>PUCCH</w:t>
      </w:r>
      <w:r w:rsidR="00AA0C75">
        <w:rPr>
          <w:lang w:val="en-GB"/>
        </w:rPr>
        <w:t>. The bits of the NR PUCCH are semi-statically allocated to the 2 RATs. This is similar as the LTE PUCCH format 3 for CA.</w:t>
      </w:r>
    </w:p>
    <w:p w14:paraId="2A723160" w14:textId="34FC1A50" w:rsidR="00AA0C75" w:rsidRPr="0033685E" w:rsidRDefault="00D775DA" w:rsidP="0033685E">
      <w:pPr>
        <w:pStyle w:val="ListParagraph"/>
        <w:numPr>
          <w:ilvl w:val="0"/>
          <w:numId w:val="24"/>
        </w:numPr>
        <w:jc w:val="both"/>
        <w:rPr>
          <w:lang w:val="en-GB"/>
        </w:rPr>
      </w:pPr>
      <w:r>
        <w:rPr>
          <w:lang w:val="en-GB"/>
        </w:rPr>
        <w:t xml:space="preserve">Option 2: </w:t>
      </w:r>
      <w:r w:rsidR="00AA0C75">
        <w:rPr>
          <w:lang w:val="en-GB"/>
        </w:rPr>
        <w:t>maintain separate LTE PUCCH and NR PUCCH for the 2 RATs, respectively. The PUCCH resources will be semi-statically allocated by the eNB and gNB jointly.</w:t>
      </w:r>
    </w:p>
    <w:p w14:paraId="03CDE55F" w14:textId="2407BA6F" w:rsidR="00D775DA" w:rsidRDefault="005A1731" w:rsidP="004B118E">
      <w:pPr>
        <w:jc w:val="both"/>
        <w:rPr>
          <w:lang w:val="en-GB"/>
        </w:rPr>
      </w:pPr>
      <w:r>
        <w:rPr>
          <w:lang w:val="en-GB"/>
        </w:rPr>
        <w:t>The advantage of option 1 is there is only a single RAT uplink waveform transmitted by the UE</w:t>
      </w:r>
      <w:r w:rsidR="004D5707">
        <w:rPr>
          <w:lang w:val="en-GB"/>
        </w:rPr>
        <w:t xml:space="preserve"> at a time. On the other hand, the LTE ACK need to be first processed by gNB and then forwarded to eNB</w:t>
      </w:r>
      <w:r w:rsidR="00276529">
        <w:rPr>
          <w:lang w:val="en-GB"/>
        </w:rPr>
        <w:t xml:space="preserve">. </w:t>
      </w:r>
      <w:r w:rsidR="00BE2487">
        <w:rPr>
          <w:lang w:val="en-GB"/>
        </w:rPr>
        <w:t xml:space="preserve">Depending on the </w:t>
      </w:r>
      <w:r w:rsidR="001E23A8">
        <w:rPr>
          <w:lang w:val="en-GB"/>
        </w:rPr>
        <w:t xml:space="preserve">implementation, it is not clear whether the tight delay requirement on L1 control can </w:t>
      </w:r>
      <w:r w:rsidR="00B50F17">
        <w:rPr>
          <w:lang w:val="en-GB"/>
        </w:rPr>
        <w:t xml:space="preserve">always </w:t>
      </w:r>
      <w:r w:rsidR="001E23A8">
        <w:rPr>
          <w:lang w:val="en-GB"/>
        </w:rPr>
        <w:t>be met.</w:t>
      </w:r>
    </w:p>
    <w:p w14:paraId="22114383" w14:textId="3507C3F0" w:rsidR="001E23A8" w:rsidRDefault="001E23A8" w:rsidP="004B118E">
      <w:pPr>
        <w:jc w:val="both"/>
        <w:rPr>
          <w:lang w:val="en-GB"/>
        </w:rPr>
      </w:pPr>
      <w:r>
        <w:rPr>
          <w:lang w:val="en-GB"/>
        </w:rPr>
        <w:t xml:space="preserve">Option 2 allows the LTE PUCCH to be directly received by </w:t>
      </w:r>
      <w:r w:rsidR="00B50F17">
        <w:rPr>
          <w:lang w:val="en-GB"/>
        </w:rPr>
        <w:t>the eNB, and thus no concern on the L1 uplink control latency.</w:t>
      </w:r>
      <w:r w:rsidR="00904F6F">
        <w:rPr>
          <w:lang w:val="en-GB"/>
        </w:rPr>
        <w:t xml:space="preserve"> This effectively becomes the FDM approach for the PUCCH channels.</w:t>
      </w:r>
    </w:p>
    <w:p w14:paraId="1F85972C" w14:textId="683B1EDF" w:rsidR="009D162E" w:rsidRDefault="009D162E" w:rsidP="009D162E">
      <w:pPr>
        <w:jc w:val="both"/>
        <w:rPr>
          <w:b/>
          <w:i/>
          <w:lang w:val="en-GB"/>
        </w:rPr>
      </w:pPr>
      <w:r>
        <w:rPr>
          <w:b/>
          <w:i/>
          <w:u w:val="single"/>
          <w:lang w:val="en-GB"/>
        </w:rPr>
        <w:t>Observation</w:t>
      </w:r>
      <w:r w:rsidRPr="00D33EC1">
        <w:rPr>
          <w:b/>
          <w:i/>
          <w:u w:val="single"/>
          <w:lang w:val="en-GB"/>
        </w:rPr>
        <w:t xml:space="preserve"> </w:t>
      </w:r>
      <w:r w:rsidR="00F350F6">
        <w:rPr>
          <w:b/>
          <w:i/>
          <w:u w:val="single"/>
          <w:lang w:val="en-GB"/>
        </w:rPr>
        <w:t>4</w:t>
      </w:r>
      <w:r w:rsidRPr="00D33EC1">
        <w:rPr>
          <w:b/>
          <w:i/>
          <w:lang w:val="en-GB"/>
        </w:rPr>
        <w:t xml:space="preserve">: </w:t>
      </w:r>
      <w:r>
        <w:rPr>
          <w:b/>
          <w:i/>
          <w:lang w:val="en-GB"/>
        </w:rPr>
        <w:t>The MAC layer multiplexing approach requires the following:</w:t>
      </w:r>
    </w:p>
    <w:p w14:paraId="4D24BF84" w14:textId="77777777" w:rsidR="00E32F93" w:rsidRPr="00E32F93" w:rsidRDefault="00E32F93" w:rsidP="00E32F93">
      <w:pPr>
        <w:pStyle w:val="ListParagraph"/>
        <w:numPr>
          <w:ilvl w:val="0"/>
          <w:numId w:val="23"/>
        </w:numPr>
        <w:jc w:val="both"/>
        <w:rPr>
          <w:rFonts w:ascii="Times New Roman" w:hAnsi="Times New Roman"/>
          <w:b/>
          <w:i/>
          <w:sz w:val="20"/>
          <w:szCs w:val="20"/>
          <w:lang w:val="en-GB"/>
        </w:rPr>
      </w:pPr>
      <w:r w:rsidRPr="00E32F93">
        <w:rPr>
          <w:rFonts w:ascii="Times New Roman" w:hAnsi="Times New Roman"/>
          <w:b/>
          <w:i/>
          <w:sz w:val="20"/>
          <w:szCs w:val="20"/>
          <w:lang w:val="en-GB"/>
        </w:rPr>
        <w:t>NR MAC should be able to mux (demux) LTE logical channels with (from) NR logical channels.</w:t>
      </w:r>
    </w:p>
    <w:p w14:paraId="2DA71B28" w14:textId="15D40B8A" w:rsidR="002615E6" w:rsidRPr="00E32F93" w:rsidRDefault="00E32F93" w:rsidP="00E32F93">
      <w:pPr>
        <w:pStyle w:val="ListParagraph"/>
        <w:numPr>
          <w:ilvl w:val="0"/>
          <w:numId w:val="23"/>
        </w:numPr>
        <w:jc w:val="both"/>
        <w:rPr>
          <w:rFonts w:ascii="Times New Roman" w:hAnsi="Times New Roman"/>
          <w:b/>
          <w:i/>
          <w:sz w:val="20"/>
          <w:szCs w:val="20"/>
          <w:lang w:val="en-GB"/>
        </w:rPr>
      </w:pPr>
      <w:r w:rsidRPr="00E32F93">
        <w:rPr>
          <w:rFonts w:ascii="Times New Roman" w:hAnsi="Times New Roman"/>
          <w:b/>
          <w:i/>
          <w:sz w:val="20"/>
          <w:szCs w:val="20"/>
          <w:lang w:val="en-GB"/>
        </w:rPr>
        <w:t>NR MAC at UE side should be able to handle UL logical channel prioritization (LCP) for logical channels from both RATs</w:t>
      </w:r>
    </w:p>
    <w:p w14:paraId="02CB65C8" w14:textId="77777777" w:rsidR="00E32F93" w:rsidRPr="00E32F93" w:rsidRDefault="00E32F93" w:rsidP="00E32F93">
      <w:pPr>
        <w:pStyle w:val="ListParagraph"/>
        <w:jc w:val="both"/>
        <w:rPr>
          <w:lang w:val="en-GB"/>
        </w:rPr>
      </w:pPr>
    </w:p>
    <w:p w14:paraId="5B1D8B4B" w14:textId="241A9C0E" w:rsidR="00DA5971" w:rsidRPr="002862C7" w:rsidRDefault="002862C7" w:rsidP="002862C7">
      <w:pPr>
        <w:jc w:val="both"/>
        <w:rPr>
          <w:b/>
          <w:i/>
          <w:lang w:val="en-GB"/>
        </w:rPr>
      </w:pPr>
      <w:r w:rsidRPr="002862C7">
        <w:rPr>
          <w:b/>
          <w:i/>
          <w:u w:val="single"/>
          <w:lang w:val="en-GB"/>
        </w:rPr>
        <w:t xml:space="preserve">Proposal </w:t>
      </w:r>
      <w:r w:rsidR="00091324">
        <w:rPr>
          <w:b/>
          <w:i/>
          <w:u w:val="single"/>
          <w:lang w:val="en-GB"/>
        </w:rPr>
        <w:t>3</w:t>
      </w:r>
      <w:r w:rsidRPr="002862C7">
        <w:rPr>
          <w:b/>
          <w:i/>
          <w:lang w:val="en-GB"/>
        </w:rPr>
        <w:t xml:space="preserve">: </w:t>
      </w:r>
      <w:r w:rsidR="00393F01">
        <w:rPr>
          <w:b/>
          <w:i/>
          <w:lang w:val="en-GB"/>
        </w:rPr>
        <w:t>For the MAC layer multiplexing approach, the L1 UCI multiplexing mechanisms should be studied</w:t>
      </w:r>
      <w:r w:rsidR="00285E18">
        <w:rPr>
          <w:b/>
          <w:i/>
          <w:lang w:val="en-GB"/>
        </w:rPr>
        <w:t>, including multip</w:t>
      </w:r>
      <w:r w:rsidR="00876DC7">
        <w:rPr>
          <w:b/>
          <w:i/>
          <w:lang w:val="en-GB"/>
        </w:rPr>
        <w:t>lexing into a single NR PUCCH or</w:t>
      </w:r>
      <w:bookmarkStart w:id="9" w:name="_GoBack"/>
      <w:bookmarkEnd w:id="9"/>
      <w:r w:rsidR="00285E18">
        <w:rPr>
          <w:b/>
          <w:i/>
          <w:lang w:val="en-GB"/>
        </w:rPr>
        <w:t xml:space="preserve"> </w:t>
      </w:r>
      <w:r w:rsidR="00876DC7">
        <w:rPr>
          <w:b/>
          <w:i/>
          <w:lang w:val="en-GB"/>
        </w:rPr>
        <w:t xml:space="preserve">keeping </w:t>
      </w:r>
      <w:r w:rsidR="00285E18">
        <w:rPr>
          <w:b/>
          <w:i/>
          <w:lang w:val="en-GB"/>
        </w:rPr>
        <w:t>separate PUCCH</w:t>
      </w:r>
      <w:r w:rsidR="00876DC7">
        <w:rPr>
          <w:b/>
          <w:i/>
          <w:lang w:val="en-GB"/>
        </w:rPr>
        <w:t xml:space="preserve"> for LTE and NR</w:t>
      </w:r>
      <w:r w:rsidR="00285E18">
        <w:rPr>
          <w:b/>
          <w:i/>
          <w:lang w:val="en-GB"/>
        </w:rPr>
        <w:t>.</w:t>
      </w:r>
    </w:p>
    <w:p w14:paraId="32720459" w14:textId="77777777" w:rsidR="00DA5971" w:rsidRPr="00363A03" w:rsidRDefault="00DA5971" w:rsidP="00363A03">
      <w:pPr>
        <w:jc w:val="both"/>
        <w:rPr>
          <w:b/>
          <w:i/>
          <w:sz w:val="22"/>
        </w:rPr>
      </w:pPr>
    </w:p>
    <w:p w14:paraId="5BE0AC90" w14:textId="77777777" w:rsidR="00FC6D8C" w:rsidRPr="00134038" w:rsidRDefault="003A38AC" w:rsidP="00AA0D9A">
      <w:pPr>
        <w:pStyle w:val="Heading1"/>
        <w:rPr>
          <w:rFonts w:ascii="Times New Roman" w:hAnsi="Times New Roman"/>
          <w:sz w:val="40"/>
        </w:rPr>
      </w:pPr>
      <w:bookmarkStart w:id="10" w:name="_Ref378529477"/>
      <w:r w:rsidRPr="00134038">
        <w:rPr>
          <w:rFonts w:ascii="Times New Roman" w:hAnsi="Times New Roman"/>
          <w:sz w:val="40"/>
        </w:rPr>
        <w:t>C</w:t>
      </w:r>
      <w:r w:rsidR="001021DD" w:rsidRPr="00134038">
        <w:rPr>
          <w:rFonts w:ascii="Times New Roman" w:hAnsi="Times New Roman"/>
          <w:sz w:val="40"/>
        </w:rPr>
        <w:t>onclusions</w:t>
      </w:r>
    </w:p>
    <w:bookmarkEnd w:id="10"/>
    <w:p w14:paraId="5C0F555D" w14:textId="141D6B0A" w:rsidR="006D7FDD" w:rsidRDefault="00DA5971" w:rsidP="00DA5971">
      <w:pPr>
        <w:jc w:val="both"/>
      </w:pPr>
      <w:r>
        <w:t xml:space="preserve">In this contribution, we </w:t>
      </w:r>
      <w:r w:rsidR="00285E18">
        <w:t>look at the potential specification and implementation impacts of different solutions to avoid simultaneous uplink transmissions from a single NSA NR UE. We have the following observations</w:t>
      </w:r>
    </w:p>
    <w:p w14:paraId="3AF1AC7C" w14:textId="77777777" w:rsidR="00285E18" w:rsidRDefault="00285E18" w:rsidP="00285E18">
      <w:pPr>
        <w:jc w:val="both"/>
        <w:rPr>
          <w:b/>
          <w:i/>
          <w:lang w:val="en-GB"/>
        </w:rPr>
      </w:pPr>
      <w:r>
        <w:rPr>
          <w:b/>
          <w:i/>
          <w:u w:val="single"/>
          <w:lang w:val="en-GB"/>
        </w:rPr>
        <w:t>Observation</w:t>
      </w:r>
      <w:r w:rsidRPr="00D33EC1">
        <w:rPr>
          <w:b/>
          <w:i/>
          <w:u w:val="single"/>
          <w:lang w:val="en-GB"/>
        </w:rPr>
        <w:t xml:space="preserve"> 1</w:t>
      </w:r>
      <w:r w:rsidRPr="00D33EC1">
        <w:rPr>
          <w:b/>
          <w:i/>
          <w:lang w:val="en-GB"/>
        </w:rPr>
        <w:t xml:space="preserve">: </w:t>
      </w:r>
      <w:r>
        <w:rPr>
          <w:b/>
          <w:i/>
          <w:lang w:val="en-GB"/>
        </w:rPr>
        <w:t>The physical layer TDM approach requires the following:</w:t>
      </w:r>
    </w:p>
    <w:p w14:paraId="6472E93C" w14:textId="77777777" w:rsidR="00285E18" w:rsidRPr="00B67F89" w:rsidRDefault="00285E18" w:rsidP="00285E18">
      <w:pPr>
        <w:pStyle w:val="ListParagraph"/>
        <w:numPr>
          <w:ilvl w:val="0"/>
          <w:numId w:val="26"/>
        </w:numPr>
        <w:jc w:val="both"/>
        <w:rPr>
          <w:rFonts w:ascii="Times New Roman" w:hAnsi="Times New Roman"/>
          <w:b/>
          <w:i/>
          <w:sz w:val="20"/>
          <w:szCs w:val="20"/>
          <w:lang w:val="en-GB"/>
        </w:rPr>
      </w:pPr>
      <w:r w:rsidRPr="00B67F89">
        <w:rPr>
          <w:rFonts w:ascii="Times New Roman" w:hAnsi="Times New Roman"/>
          <w:b/>
          <w:i/>
          <w:sz w:val="20"/>
          <w:szCs w:val="20"/>
          <w:lang w:val="en-GB"/>
        </w:rPr>
        <w:t xml:space="preserve">UL synchronization between eNB and gNB. </w:t>
      </w:r>
    </w:p>
    <w:p w14:paraId="276A9AFC" w14:textId="77777777" w:rsidR="00285E18" w:rsidRPr="00B67F89" w:rsidRDefault="00285E18" w:rsidP="00285E18">
      <w:pPr>
        <w:pStyle w:val="ListParagraph"/>
        <w:numPr>
          <w:ilvl w:val="0"/>
          <w:numId w:val="26"/>
        </w:numPr>
        <w:jc w:val="both"/>
        <w:rPr>
          <w:rFonts w:ascii="Times New Roman" w:hAnsi="Times New Roman"/>
          <w:b/>
          <w:i/>
          <w:sz w:val="20"/>
          <w:szCs w:val="20"/>
          <w:lang w:val="en-GB"/>
        </w:rPr>
      </w:pPr>
      <w:r w:rsidRPr="00B67F89">
        <w:rPr>
          <w:rFonts w:ascii="Times New Roman" w:hAnsi="Times New Roman"/>
          <w:b/>
          <w:i/>
          <w:sz w:val="20"/>
          <w:szCs w:val="20"/>
          <w:lang w:val="en-GB"/>
        </w:rPr>
        <w:t>Sharing semi-static resource reservation between eNB and gNB through X interface.</w:t>
      </w:r>
    </w:p>
    <w:p w14:paraId="3FC87683" w14:textId="77777777" w:rsidR="00285E18" w:rsidRPr="00B67F89" w:rsidRDefault="00285E18" w:rsidP="00285E18">
      <w:pPr>
        <w:pStyle w:val="ListParagraph"/>
        <w:numPr>
          <w:ilvl w:val="0"/>
          <w:numId w:val="26"/>
        </w:numPr>
        <w:jc w:val="both"/>
        <w:rPr>
          <w:b/>
          <w:i/>
          <w:lang w:val="en-GB"/>
        </w:rPr>
      </w:pPr>
      <w:r>
        <w:rPr>
          <w:rFonts w:ascii="Times New Roman" w:hAnsi="Times New Roman"/>
          <w:b/>
          <w:i/>
          <w:sz w:val="20"/>
          <w:szCs w:val="20"/>
          <w:lang w:val="en-GB"/>
        </w:rPr>
        <w:t>LTE PDSCH</w:t>
      </w:r>
      <w:r w:rsidRPr="00B67F89">
        <w:rPr>
          <w:rFonts w:ascii="Times New Roman" w:hAnsi="Times New Roman"/>
          <w:b/>
          <w:i/>
          <w:sz w:val="20"/>
          <w:szCs w:val="20"/>
          <w:lang w:val="en-GB"/>
        </w:rPr>
        <w:t xml:space="preserve"> muting may be needed to skip the sub-frames without corresponding PUCCH opportunity</w:t>
      </w:r>
      <w:r w:rsidRPr="00B67F89">
        <w:rPr>
          <w:b/>
          <w:i/>
          <w:lang w:val="en-GB"/>
        </w:rPr>
        <w:t>.</w:t>
      </w:r>
    </w:p>
    <w:p w14:paraId="76252923" w14:textId="77777777" w:rsidR="00285E18" w:rsidRDefault="00285E18" w:rsidP="00285E18">
      <w:pPr>
        <w:jc w:val="both"/>
      </w:pPr>
    </w:p>
    <w:p w14:paraId="2DCF3B0F" w14:textId="77777777" w:rsidR="00285E18" w:rsidRDefault="00285E18" w:rsidP="00285E18">
      <w:pPr>
        <w:jc w:val="both"/>
        <w:rPr>
          <w:b/>
          <w:i/>
          <w:lang w:val="en-GB"/>
        </w:rPr>
      </w:pPr>
      <w:r>
        <w:rPr>
          <w:b/>
          <w:i/>
          <w:u w:val="single"/>
          <w:lang w:val="en-GB"/>
        </w:rPr>
        <w:lastRenderedPageBreak/>
        <w:t>Observation</w:t>
      </w:r>
      <w:r w:rsidRPr="00D33EC1">
        <w:rPr>
          <w:b/>
          <w:i/>
          <w:u w:val="single"/>
          <w:lang w:val="en-GB"/>
        </w:rPr>
        <w:t xml:space="preserve"> </w:t>
      </w:r>
      <w:r>
        <w:rPr>
          <w:b/>
          <w:i/>
          <w:u w:val="single"/>
          <w:lang w:val="en-GB"/>
        </w:rPr>
        <w:t>2</w:t>
      </w:r>
      <w:r w:rsidRPr="00D33EC1">
        <w:rPr>
          <w:b/>
          <w:i/>
          <w:lang w:val="en-GB"/>
        </w:rPr>
        <w:t xml:space="preserve">: </w:t>
      </w:r>
      <w:r>
        <w:rPr>
          <w:b/>
          <w:i/>
          <w:lang w:val="en-GB"/>
        </w:rPr>
        <w:t>The physical layer FDM approach requires the following:</w:t>
      </w:r>
    </w:p>
    <w:p w14:paraId="021974D0" w14:textId="77777777" w:rsidR="00285E18" w:rsidRPr="00B67F89" w:rsidRDefault="00285E18" w:rsidP="00285E18">
      <w:pPr>
        <w:pStyle w:val="ListParagraph"/>
        <w:numPr>
          <w:ilvl w:val="0"/>
          <w:numId w:val="26"/>
        </w:numPr>
        <w:jc w:val="both"/>
        <w:rPr>
          <w:rFonts w:ascii="Times New Roman" w:hAnsi="Times New Roman"/>
          <w:b/>
          <w:i/>
          <w:sz w:val="20"/>
          <w:szCs w:val="20"/>
          <w:lang w:val="en-GB"/>
        </w:rPr>
      </w:pPr>
      <w:r w:rsidRPr="00B67F89">
        <w:rPr>
          <w:rFonts w:ascii="Times New Roman" w:hAnsi="Times New Roman"/>
          <w:b/>
          <w:i/>
          <w:sz w:val="20"/>
          <w:szCs w:val="20"/>
          <w:lang w:val="en-GB"/>
        </w:rPr>
        <w:t xml:space="preserve">UL synchronization between eNB and gNB. </w:t>
      </w:r>
    </w:p>
    <w:p w14:paraId="25A2F22E" w14:textId="77777777" w:rsidR="00285E18" w:rsidRDefault="00285E18" w:rsidP="00285E18">
      <w:pPr>
        <w:pStyle w:val="ListParagraph"/>
        <w:numPr>
          <w:ilvl w:val="0"/>
          <w:numId w:val="26"/>
        </w:numPr>
        <w:jc w:val="both"/>
        <w:rPr>
          <w:rFonts w:ascii="Times New Roman" w:hAnsi="Times New Roman"/>
          <w:b/>
          <w:i/>
          <w:sz w:val="20"/>
          <w:szCs w:val="20"/>
          <w:lang w:val="en-GB"/>
        </w:rPr>
      </w:pPr>
      <w:r w:rsidRPr="00B67F89">
        <w:rPr>
          <w:rFonts w:ascii="Times New Roman" w:hAnsi="Times New Roman"/>
          <w:b/>
          <w:i/>
          <w:sz w:val="20"/>
          <w:szCs w:val="20"/>
          <w:lang w:val="en-GB"/>
        </w:rPr>
        <w:t>Sharing semi-static resource reservation between eNB and gNB through X interface.</w:t>
      </w:r>
    </w:p>
    <w:p w14:paraId="0AA80E6B" w14:textId="77777777" w:rsidR="00285E18" w:rsidRPr="008A54CE" w:rsidRDefault="00285E18" w:rsidP="00285E18">
      <w:pPr>
        <w:pStyle w:val="ListParagraph"/>
        <w:jc w:val="both"/>
        <w:rPr>
          <w:rFonts w:ascii="Times New Roman" w:hAnsi="Times New Roman"/>
          <w:b/>
          <w:i/>
          <w:sz w:val="20"/>
          <w:szCs w:val="20"/>
          <w:lang w:val="en-GB"/>
        </w:rPr>
      </w:pPr>
    </w:p>
    <w:p w14:paraId="46A35754" w14:textId="77777777" w:rsidR="00285E18" w:rsidRDefault="00285E18" w:rsidP="00285E18">
      <w:pPr>
        <w:jc w:val="both"/>
        <w:rPr>
          <w:b/>
          <w:i/>
          <w:lang w:val="en-GB"/>
        </w:rPr>
      </w:pPr>
      <w:r>
        <w:rPr>
          <w:b/>
          <w:i/>
          <w:u w:val="single"/>
          <w:lang w:val="en-GB"/>
        </w:rPr>
        <w:t>Observation</w:t>
      </w:r>
      <w:r w:rsidRPr="00D33EC1">
        <w:rPr>
          <w:b/>
          <w:i/>
          <w:u w:val="single"/>
          <w:lang w:val="en-GB"/>
        </w:rPr>
        <w:t xml:space="preserve"> </w:t>
      </w:r>
      <w:r>
        <w:rPr>
          <w:b/>
          <w:i/>
          <w:u w:val="single"/>
          <w:lang w:val="en-GB"/>
        </w:rPr>
        <w:t>3</w:t>
      </w:r>
      <w:r w:rsidRPr="00D33EC1">
        <w:rPr>
          <w:b/>
          <w:i/>
          <w:lang w:val="en-GB"/>
        </w:rPr>
        <w:t xml:space="preserve">: </w:t>
      </w:r>
      <w:r>
        <w:rPr>
          <w:b/>
          <w:i/>
          <w:lang w:val="en-GB"/>
        </w:rPr>
        <w:t>The physical layer FDM approach may lead to larger MPR and impact the coverage of NSA mode UE</w:t>
      </w:r>
      <w:r w:rsidRPr="00B67F89">
        <w:rPr>
          <w:b/>
          <w:i/>
          <w:lang w:val="en-GB"/>
        </w:rPr>
        <w:t>.</w:t>
      </w:r>
    </w:p>
    <w:p w14:paraId="205A27F5" w14:textId="77777777" w:rsidR="00285E18" w:rsidRDefault="00285E18" w:rsidP="00285E18">
      <w:pPr>
        <w:jc w:val="both"/>
        <w:rPr>
          <w:b/>
          <w:i/>
          <w:lang w:val="en-GB"/>
        </w:rPr>
      </w:pPr>
      <w:r>
        <w:rPr>
          <w:b/>
          <w:i/>
          <w:u w:val="single"/>
          <w:lang w:val="en-GB"/>
        </w:rPr>
        <w:t>Observation</w:t>
      </w:r>
      <w:r w:rsidRPr="00D33EC1">
        <w:rPr>
          <w:b/>
          <w:i/>
          <w:u w:val="single"/>
          <w:lang w:val="en-GB"/>
        </w:rPr>
        <w:t xml:space="preserve"> </w:t>
      </w:r>
      <w:r>
        <w:rPr>
          <w:b/>
          <w:i/>
          <w:u w:val="single"/>
          <w:lang w:val="en-GB"/>
        </w:rPr>
        <w:t>4</w:t>
      </w:r>
      <w:r w:rsidRPr="00D33EC1">
        <w:rPr>
          <w:b/>
          <w:i/>
          <w:lang w:val="en-GB"/>
        </w:rPr>
        <w:t xml:space="preserve">: </w:t>
      </w:r>
      <w:r>
        <w:rPr>
          <w:b/>
          <w:i/>
          <w:lang w:val="en-GB"/>
        </w:rPr>
        <w:t>The MAC layer multiplexing approach requires the following:</w:t>
      </w:r>
    </w:p>
    <w:p w14:paraId="3DBB9B2D" w14:textId="77777777" w:rsidR="00285E18" w:rsidRPr="00E32F93" w:rsidRDefault="00285E18" w:rsidP="00285E18">
      <w:pPr>
        <w:pStyle w:val="ListParagraph"/>
        <w:numPr>
          <w:ilvl w:val="0"/>
          <w:numId w:val="23"/>
        </w:numPr>
        <w:jc w:val="both"/>
        <w:rPr>
          <w:rFonts w:ascii="Times New Roman" w:hAnsi="Times New Roman"/>
          <w:b/>
          <w:i/>
          <w:sz w:val="20"/>
          <w:szCs w:val="20"/>
          <w:lang w:val="en-GB"/>
        </w:rPr>
      </w:pPr>
      <w:r w:rsidRPr="00E32F93">
        <w:rPr>
          <w:rFonts w:ascii="Times New Roman" w:hAnsi="Times New Roman"/>
          <w:b/>
          <w:i/>
          <w:sz w:val="20"/>
          <w:szCs w:val="20"/>
          <w:lang w:val="en-GB"/>
        </w:rPr>
        <w:t>NR MAC should be able to mux (demux) LTE logical channels with (from) NR logical channels.</w:t>
      </w:r>
    </w:p>
    <w:p w14:paraId="613CD786" w14:textId="77777777" w:rsidR="00285E18" w:rsidRPr="00E32F93" w:rsidRDefault="00285E18" w:rsidP="00285E18">
      <w:pPr>
        <w:pStyle w:val="ListParagraph"/>
        <w:numPr>
          <w:ilvl w:val="0"/>
          <w:numId w:val="23"/>
        </w:numPr>
        <w:jc w:val="both"/>
        <w:rPr>
          <w:rFonts w:ascii="Times New Roman" w:hAnsi="Times New Roman"/>
          <w:b/>
          <w:i/>
          <w:sz w:val="20"/>
          <w:szCs w:val="20"/>
          <w:lang w:val="en-GB"/>
        </w:rPr>
      </w:pPr>
      <w:r w:rsidRPr="00E32F93">
        <w:rPr>
          <w:rFonts w:ascii="Times New Roman" w:hAnsi="Times New Roman"/>
          <w:b/>
          <w:i/>
          <w:sz w:val="20"/>
          <w:szCs w:val="20"/>
          <w:lang w:val="en-GB"/>
        </w:rPr>
        <w:t>NR MAC at UE side should be able to handle UL logical channel prioritization (LCP) for logical channels from both RATs</w:t>
      </w:r>
    </w:p>
    <w:p w14:paraId="1E6F45A3" w14:textId="77777777" w:rsidR="00285E18" w:rsidRPr="001C7AD9" w:rsidRDefault="00285E18" w:rsidP="00DA5971">
      <w:pPr>
        <w:jc w:val="both"/>
      </w:pPr>
    </w:p>
    <w:p w14:paraId="1733E3A5" w14:textId="6A430283" w:rsidR="00363A03" w:rsidRDefault="00363A03" w:rsidP="006E241F">
      <w:pPr>
        <w:jc w:val="both"/>
        <w:rPr>
          <w:sz w:val="22"/>
        </w:rPr>
      </w:pPr>
      <w:r>
        <w:rPr>
          <w:sz w:val="22"/>
        </w:rPr>
        <w:t xml:space="preserve">Specifically, we propose the following: </w:t>
      </w:r>
    </w:p>
    <w:p w14:paraId="18C188C5" w14:textId="77777777" w:rsidR="00285E18" w:rsidRPr="00B67F89" w:rsidRDefault="00285E18" w:rsidP="00285E18">
      <w:pPr>
        <w:jc w:val="both"/>
        <w:rPr>
          <w:b/>
          <w:i/>
          <w:lang w:val="en-GB"/>
        </w:rPr>
      </w:pPr>
      <w:r>
        <w:rPr>
          <w:b/>
          <w:i/>
          <w:u w:val="single"/>
          <w:lang w:val="en-GB"/>
        </w:rPr>
        <w:t>Proposal 1</w:t>
      </w:r>
      <w:r w:rsidRPr="00D33EC1">
        <w:rPr>
          <w:b/>
          <w:i/>
          <w:lang w:val="en-GB"/>
        </w:rPr>
        <w:t xml:space="preserve">: </w:t>
      </w:r>
      <w:r>
        <w:rPr>
          <w:b/>
          <w:i/>
          <w:lang w:val="en-GB"/>
        </w:rPr>
        <w:t xml:space="preserve">For the physical layer TDM approach, the two RATs uplinks can be configured either on the same (LTE) frequency, or on different frequencies, depending on whether the LTE cell support LTE/NR coexistence. </w:t>
      </w:r>
    </w:p>
    <w:p w14:paraId="06A17B66" w14:textId="77777777" w:rsidR="00285E18" w:rsidRPr="00EC77F1" w:rsidRDefault="00285E18" w:rsidP="00285E18">
      <w:pPr>
        <w:jc w:val="both"/>
        <w:rPr>
          <w:b/>
          <w:i/>
          <w:lang w:val="en-GB"/>
        </w:rPr>
      </w:pPr>
      <w:r w:rsidRPr="009A2FE1">
        <w:rPr>
          <w:b/>
          <w:i/>
          <w:u w:val="single"/>
          <w:lang w:val="en-GB"/>
        </w:rPr>
        <w:t xml:space="preserve">Proposal </w:t>
      </w:r>
      <w:r>
        <w:rPr>
          <w:b/>
          <w:i/>
          <w:u w:val="single"/>
          <w:lang w:val="en-GB"/>
        </w:rPr>
        <w:t>2</w:t>
      </w:r>
      <w:r>
        <w:rPr>
          <w:b/>
          <w:i/>
          <w:lang w:val="en-GB"/>
        </w:rPr>
        <w:t>: For physical layer FDM approach, the transmitted LTE and NR uplink waveform from a particular UE can be multiplexed in baseband, and it is desirable to use the same numerology and tone grid within the LTE band.</w:t>
      </w:r>
    </w:p>
    <w:p w14:paraId="4AD9AE45" w14:textId="3C8643CE" w:rsidR="00285E18" w:rsidRDefault="00285E18" w:rsidP="00285E18">
      <w:pPr>
        <w:jc w:val="both"/>
        <w:rPr>
          <w:b/>
          <w:i/>
          <w:lang w:val="en-GB"/>
        </w:rPr>
      </w:pPr>
      <w:r w:rsidRPr="002862C7">
        <w:rPr>
          <w:b/>
          <w:i/>
          <w:u w:val="single"/>
          <w:lang w:val="en-GB"/>
        </w:rPr>
        <w:t xml:space="preserve">Proposal </w:t>
      </w:r>
      <w:r>
        <w:rPr>
          <w:b/>
          <w:i/>
          <w:u w:val="single"/>
          <w:lang w:val="en-GB"/>
        </w:rPr>
        <w:t>3</w:t>
      </w:r>
      <w:r w:rsidRPr="002862C7">
        <w:rPr>
          <w:b/>
          <w:i/>
          <w:lang w:val="en-GB"/>
        </w:rPr>
        <w:t xml:space="preserve">: </w:t>
      </w:r>
      <w:r>
        <w:rPr>
          <w:b/>
          <w:i/>
          <w:lang w:val="en-GB"/>
        </w:rPr>
        <w:t>For the MAC layer multiplexing approach, the L1 UCI multiplexing mechanisms should be studied, including multiplexing int</w:t>
      </w:r>
      <w:r w:rsidR="00A50635">
        <w:rPr>
          <w:b/>
          <w:i/>
          <w:lang w:val="en-GB"/>
        </w:rPr>
        <w:t>o a single NR PUCCH or keeping</w:t>
      </w:r>
      <w:r>
        <w:rPr>
          <w:b/>
          <w:i/>
          <w:lang w:val="en-GB"/>
        </w:rPr>
        <w:t xml:space="preserve"> separate PUCCH</w:t>
      </w:r>
      <w:r w:rsidR="00A50635">
        <w:rPr>
          <w:b/>
          <w:i/>
          <w:lang w:val="en-GB"/>
        </w:rPr>
        <w:t xml:space="preserve"> for LTE and NR</w:t>
      </w:r>
      <w:r>
        <w:rPr>
          <w:b/>
          <w:i/>
          <w:lang w:val="en-GB"/>
        </w:rPr>
        <w:t>.</w:t>
      </w:r>
    </w:p>
    <w:p w14:paraId="48A3AA4A" w14:textId="3E6D5215" w:rsidR="00285E18" w:rsidRPr="002862C7" w:rsidRDefault="00285E18" w:rsidP="00285E18">
      <w:pPr>
        <w:jc w:val="both"/>
        <w:rPr>
          <w:b/>
          <w:i/>
          <w:lang w:val="en-GB"/>
        </w:rPr>
      </w:pPr>
      <w:r w:rsidRPr="006359E2">
        <w:rPr>
          <w:b/>
          <w:i/>
          <w:u w:val="single"/>
          <w:lang w:val="en-GB"/>
        </w:rPr>
        <w:t>Proposal 4</w:t>
      </w:r>
      <w:r>
        <w:rPr>
          <w:b/>
          <w:i/>
          <w:lang w:val="en-GB"/>
        </w:rPr>
        <w:t>: RAN1 should narrow down to 1 or 2 candidate solutions, and then send LS to inform RAN2.</w:t>
      </w:r>
    </w:p>
    <w:p w14:paraId="34F28E08" w14:textId="77777777" w:rsidR="00363A03" w:rsidRPr="00B160DC" w:rsidRDefault="00363A03" w:rsidP="00363A03">
      <w:pPr>
        <w:rPr>
          <w:b/>
          <w:i/>
        </w:rPr>
      </w:pPr>
    </w:p>
    <w:p w14:paraId="5BE0AC98" w14:textId="77777777" w:rsidR="00E523F3" w:rsidRPr="00134038" w:rsidRDefault="00E523F3" w:rsidP="00BC0E9A">
      <w:pPr>
        <w:pStyle w:val="Heading1"/>
        <w:numPr>
          <w:ilvl w:val="0"/>
          <w:numId w:val="0"/>
        </w:numPr>
        <w:ind w:left="432" w:hanging="432"/>
        <w:rPr>
          <w:rFonts w:ascii="Times New Roman" w:hAnsi="Times New Roman"/>
          <w:sz w:val="40"/>
          <w:lang w:val="en-US"/>
        </w:rPr>
      </w:pPr>
      <w:r w:rsidRPr="00134038">
        <w:rPr>
          <w:rFonts w:ascii="Times New Roman" w:hAnsi="Times New Roman"/>
          <w:sz w:val="40"/>
          <w:lang w:val="en-US"/>
        </w:rPr>
        <w:t>References</w:t>
      </w:r>
    </w:p>
    <w:p w14:paraId="3D1D25AF" w14:textId="1A1CE876" w:rsidR="007D0702" w:rsidRPr="00F660ED" w:rsidRDefault="00F660ED" w:rsidP="00F660ED">
      <w:pPr>
        <w:numPr>
          <w:ilvl w:val="0"/>
          <w:numId w:val="2"/>
        </w:numPr>
        <w:spacing w:before="100" w:beforeAutospacing="1" w:after="100" w:afterAutospacing="1"/>
        <w:ind w:left="562" w:hanging="562"/>
        <w:rPr>
          <w:b/>
          <w:sz w:val="22"/>
          <w:szCs w:val="22"/>
          <w:lang w:val="en-GB"/>
        </w:rPr>
      </w:pPr>
      <w:bookmarkStart w:id="11" w:name="_Ref485052628"/>
      <w:bookmarkStart w:id="12" w:name="_Ref478051053"/>
      <w:bookmarkStart w:id="13" w:name="_Ref430766234"/>
      <w:r>
        <w:rPr>
          <w:sz w:val="22"/>
          <w:szCs w:val="22"/>
        </w:rPr>
        <w:t>RP-17085</w:t>
      </w:r>
      <w:r w:rsidR="005E04D5">
        <w:rPr>
          <w:sz w:val="22"/>
          <w:szCs w:val="22"/>
        </w:rPr>
        <w:t>7</w:t>
      </w:r>
      <w:r w:rsidR="007D0702">
        <w:rPr>
          <w:sz w:val="22"/>
          <w:szCs w:val="22"/>
        </w:rPr>
        <w:t>, “</w:t>
      </w:r>
      <w:r w:rsidRPr="00F660ED">
        <w:rPr>
          <w:sz w:val="22"/>
          <w:szCs w:val="22"/>
          <w:lang w:val="en-GB"/>
        </w:rPr>
        <w:t>Draft Report of 3GPP TSG RAN meeting #75</w:t>
      </w:r>
      <w:r w:rsidR="007D0702" w:rsidRPr="00F660ED">
        <w:rPr>
          <w:sz w:val="22"/>
          <w:szCs w:val="22"/>
        </w:rPr>
        <w:t>”, 3GPP TSG RAN meeting #75, Dubrovnik, Croatia, March 6</w:t>
      </w:r>
      <w:r w:rsidR="0094206D" w:rsidRPr="00F660ED">
        <w:rPr>
          <w:sz w:val="22"/>
          <w:szCs w:val="22"/>
          <w:vertAlign w:val="superscript"/>
        </w:rPr>
        <w:t>th</w:t>
      </w:r>
      <w:r w:rsidR="007D0702" w:rsidRPr="00F660ED">
        <w:rPr>
          <w:sz w:val="22"/>
          <w:szCs w:val="22"/>
        </w:rPr>
        <w:t>-9</w:t>
      </w:r>
      <w:r w:rsidR="007D0702" w:rsidRPr="00F660ED">
        <w:rPr>
          <w:sz w:val="22"/>
          <w:szCs w:val="22"/>
          <w:vertAlign w:val="superscript"/>
        </w:rPr>
        <w:t>th</w:t>
      </w:r>
      <w:r w:rsidR="007D0702" w:rsidRPr="00F660ED">
        <w:rPr>
          <w:sz w:val="22"/>
          <w:szCs w:val="22"/>
        </w:rPr>
        <w:t>, 2017.</w:t>
      </w:r>
      <w:bookmarkEnd w:id="11"/>
    </w:p>
    <w:p w14:paraId="620EBFFF" w14:textId="5F58FC74" w:rsidR="00F660ED" w:rsidRDefault="00F660ED" w:rsidP="00F660ED">
      <w:pPr>
        <w:numPr>
          <w:ilvl w:val="0"/>
          <w:numId w:val="2"/>
        </w:numPr>
        <w:spacing w:before="100" w:beforeAutospacing="1" w:after="100" w:afterAutospacing="1"/>
        <w:ind w:left="562" w:hanging="562"/>
        <w:rPr>
          <w:sz w:val="22"/>
          <w:szCs w:val="22"/>
        </w:rPr>
      </w:pPr>
      <w:bookmarkStart w:id="14" w:name="_Ref485052638"/>
      <w:bookmarkStart w:id="15" w:name="_Ref481387100"/>
      <w:r>
        <w:rPr>
          <w:sz w:val="22"/>
          <w:szCs w:val="22"/>
        </w:rPr>
        <w:t>RP-170741, “</w:t>
      </w:r>
      <w:r w:rsidRPr="00F660ED">
        <w:rPr>
          <w:sz w:val="22"/>
          <w:szCs w:val="22"/>
        </w:rPr>
        <w:t>Way Forward on the overall 5G-NR eMBB workplan”</w:t>
      </w:r>
      <w:r>
        <w:rPr>
          <w:sz w:val="22"/>
          <w:szCs w:val="22"/>
        </w:rPr>
        <w:t>, 3GPP TSG RAN meeting #75, Dubrovnik, Croatia, March 6</w:t>
      </w:r>
      <w:r w:rsidRPr="00F660ED">
        <w:rPr>
          <w:sz w:val="22"/>
          <w:szCs w:val="22"/>
          <w:vertAlign w:val="superscript"/>
        </w:rPr>
        <w:t>th</w:t>
      </w:r>
      <w:r>
        <w:rPr>
          <w:sz w:val="22"/>
          <w:szCs w:val="22"/>
        </w:rPr>
        <w:t xml:space="preserve"> – 9</w:t>
      </w:r>
      <w:r w:rsidRPr="00F660ED">
        <w:rPr>
          <w:sz w:val="22"/>
          <w:szCs w:val="22"/>
          <w:vertAlign w:val="superscript"/>
        </w:rPr>
        <w:t>th</w:t>
      </w:r>
      <w:r>
        <w:rPr>
          <w:sz w:val="22"/>
          <w:szCs w:val="22"/>
        </w:rPr>
        <w:t>, 2017.</w:t>
      </w:r>
      <w:bookmarkEnd w:id="14"/>
    </w:p>
    <w:p w14:paraId="220CDD44" w14:textId="0BA6BA5F" w:rsidR="001B4C84" w:rsidRDefault="001B4C84" w:rsidP="00F660ED">
      <w:pPr>
        <w:numPr>
          <w:ilvl w:val="0"/>
          <w:numId w:val="2"/>
        </w:numPr>
        <w:spacing w:before="100" w:beforeAutospacing="1" w:after="100" w:afterAutospacing="1"/>
        <w:ind w:left="562" w:hanging="562"/>
        <w:rPr>
          <w:sz w:val="22"/>
          <w:szCs w:val="22"/>
        </w:rPr>
      </w:pPr>
      <w:bookmarkStart w:id="16" w:name="_Ref485406401"/>
      <w:r>
        <w:rPr>
          <w:sz w:val="22"/>
          <w:szCs w:val="22"/>
        </w:rPr>
        <w:t>3GPP TR 38.801, “Study on new radio access technology: Radio access architecture and interfaces”, V14.0.0, 2017-03.</w:t>
      </w:r>
      <w:bookmarkEnd w:id="16"/>
    </w:p>
    <w:p w14:paraId="1C9C1D91" w14:textId="7E2A95B8" w:rsidR="00D735EE" w:rsidRDefault="00D735EE" w:rsidP="00F660ED">
      <w:pPr>
        <w:numPr>
          <w:ilvl w:val="0"/>
          <w:numId w:val="2"/>
        </w:numPr>
        <w:spacing w:before="100" w:beforeAutospacing="1" w:after="100" w:afterAutospacing="1"/>
        <w:ind w:left="562" w:hanging="562"/>
        <w:rPr>
          <w:sz w:val="22"/>
          <w:szCs w:val="22"/>
        </w:rPr>
      </w:pPr>
      <w:bookmarkStart w:id="17" w:name="_Ref485064906"/>
      <w:r>
        <w:rPr>
          <w:sz w:val="22"/>
          <w:szCs w:val="22"/>
        </w:rPr>
        <w:t xml:space="preserve">R1-1708276, “Uplink sharing in NSA mode”, </w:t>
      </w:r>
      <w:r w:rsidR="00C1559E">
        <w:rPr>
          <w:sz w:val="22"/>
          <w:szCs w:val="22"/>
        </w:rPr>
        <w:t xml:space="preserve">3GPP </w:t>
      </w:r>
      <w:r>
        <w:rPr>
          <w:sz w:val="22"/>
          <w:szCs w:val="22"/>
        </w:rPr>
        <w:t>R</w:t>
      </w:r>
      <w:r w:rsidR="00C1559E">
        <w:rPr>
          <w:sz w:val="22"/>
          <w:szCs w:val="22"/>
        </w:rPr>
        <w:t>AN</w:t>
      </w:r>
      <w:r>
        <w:rPr>
          <w:sz w:val="22"/>
          <w:szCs w:val="22"/>
        </w:rPr>
        <w:t>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17"/>
    </w:p>
    <w:p w14:paraId="5365B28F" w14:textId="44E9EB68" w:rsidR="00D735EE" w:rsidRPr="00F660ED" w:rsidRDefault="00D735EE" w:rsidP="00F660ED">
      <w:pPr>
        <w:numPr>
          <w:ilvl w:val="0"/>
          <w:numId w:val="2"/>
        </w:numPr>
        <w:spacing w:before="100" w:beforeAutospacing="1" w:after="100" w:afterAutospacing="1"/>
        <w:ind w:left="562" w:hanging="562"/>
        <w:rPr>
          <w:sz w:val="22"/>
          <w:szCs w:val="22"/>
        </w:rPr>
      </w:pPr>
      <w:bookmarkStart w:id="18" w:name="_Ref485064908"/>
      <w:r>
        <w:rPr>
          <w:sz w:val="22"/>
          <w:szCs w:val="22"/>
        </w:rPr>
        <w:t>R4-</w:t>
      </w:r>
      <w:r w:rsidR="00C1559E">
        <w:rPr>
          <w:sz w:val="22"/>
          <w:szCs w:val="22"/>
        </w:rPr>
        <w:t>1704759, “</w:t>
      </w:r>
      <w:r w:rsidR="00C1559E" w:rsidRPr="00C1559E">
        <w:rPr>
          <w:rFonts w:hint="eastAsia"/>
          <w:sz w:val="22"/>
          <w:szCs w:val="22"/>
          <w:lang w:val="en-GB"/>
        </w:rPr>
        <w:t>C</w:t>
      </w:r>
      <w:r w:rsidR="00C1559E" w:rsidRPr="00C1559E">
        <w:rPr>
          <w:sz w:val="22"/>
          <w:szCs w:val="22"/>
          <w:lang w:val="en-GB"/>
        </w:rPr>
        <w:t>o</w:t>
      </w:r>
      <w:r w:rsidR="00C1559E" w:rsidRPr="00C1559E">
        <w:rPr>
          <w:rFonts w:hint="eastAsia"/>
          <w:sz w:val="22"/>
          <w:szCs w:val="22"/>
          <w:lang w:val="en-GB"/>
        </w:rPr>
        <w:t>-</w:t>
      </w:r>
      <w:r w:rsidR="00C1559E" w:rsidRPr="00C1559E">
        <w:rPr>
          <w:sz w:val="22"/>
          <w:szCs w:val="22"/>
          <w:lang w:val="en-GB"/>
        </w:rPr>
        <w:t>existence analysis</w:t>
      </w:r>
      <w:r w:rsidR="00C1559E" w:rsidRPr="00C1559E">
        <w:rPr>
          <w:rFonts w:hint="eastAsia"/>
          <w:sz w:val="22"/>
          <w:szCs w:val="22"/>
          <w:lang w:val="en-GB"/>
        </w:rPr>
        <w:t xml:space="preserve"> on </w:t>
      </w:r>
      <w:r w:rsidR="00C1559E" w:rsidRPr="00C1559E">
        <w:rPr>
          <w:sz w:val="22"/>
          <w:szCs w:val="22"/>
          <w:lang w:val="en-GB"/>
        </w:rPr>
        <w:t>LTE-NR band combinations</w:t>
      </w:r>
      <w:r w:rsidR="00C1559E">
        <w:rPr>
          <w:sz w:val="22"/>
          <w:szCs w:val="22"/>
        </w:rPr>
        <w:t>”, 3GPP RAN4 #83, Hangzhou, China, May 15</w:t>
      </w:r>
      <w:r w:rsidR="00C1559E" w:rsidRPr="00C1559E">
        <w:rPr>
          <w:sz w:val="22"/>
          <w:szCs w:val="22"/>
          <w:vertAlign w:val="superscript"/>
        </w:rPr>
        <w:t>th</w:t>
      </w:r>
      <w:r w:rsidR="00C1559E">
        <w:rPr>
          <w:sz w:val="22"/>
          <w:szCs w:val="22"/>
        </w:rPr>
        <w:t>-19</w:t>
      </w:r>
      <w:r w:rsidR="00C1559E" w:rsidRPr="00C1559E">
        <w:rPr>
          <w:sz w:val="22"/>
          <w:szCs w:val="22"/>
          <w:vertAlign w:val="superscript"/>
        </w:rPr>
        <w:t>th</w:t>
      </w:r>
      <w:r w:rsidR="00C1559E">
        <w:rPr>
          <w:sz w:val="22"/>
          <w:szCs w:val="22"/>
        </w:rPr>
        <w:t>, 2017.</w:t>
      </w:r>
      <w:bookmarkEnd w:id="18"/>
    </w:p>
    <w:p w14:paraId="358867B8" w14:textId="56104E83" w:rsidR="0094206D" w:rsidRDefault="0094206D" w:rsidP="005D4043">
      <w:pPr>
        <w:numPr>
          <w:ilvl w:val="0"/>
          <w:numId w:val="2"/>
        </w:numPr>
        <w:spacing w:before="100" w:beforeAutospacing="1" w:after="100" w:afterAutospacing="1"/>
        <w:ind w:left="562" w:hanging="562"/>
        <w:rPr>
          <w:sz w:val="22"/>
          <w:szCs w:val="22"/>
        </w:rPr>
      </w:pPr>
      <w:r>
        <w:rPr>
          <w:sz w:val="22"/>
          <w:szCs w:val="22"/>
        </w:rPr>
        <w:t xml:space="preserve">3GPP RAN1 </w:t>
      </w:r>
      <w:r w:rsidR="00C66BD9">
        <w:rPr>
          <w:sz w:val="22"/>
          <w:szCs w:val="22"/>
        </w:rPr>
        <w:t>#89</w:t>
      </w:r>
      <w:r>
        <w:rPr>
          <w:sz w:val="22"/>
          <w:szCs w:val="22"/>
        </w:rPr>
        <w:t xml:space="preserve"> Chairman Notes, “Chairman’s Notes RAN1 </w:t>
      </w:r>
      <w:r w:rsidR="00C66BD9">
        <w:rPr>
          <w:sz w:val="22"/>
          <w:szCs w:val="22"/>
        </w:rPr>
        <w:t>#89</w:t>
      </w:r>
      <w:r>
        <w:rPr>
          <w:sz w:val="22"/>
          <w:szCs w:val="22"/>
        </w:rPr>
        <w:t xml:space="preserve"> final”, </w:t>
      </w:r>
      <w:r w:rsidR="00C66BD9">
        <w:rPr>
          <w:sz w:val="22"/>
          <w:szCs w:val="22"/>
        </w:rPr>
        <w:t>Hangzhou, China</w:t>
      </w:r>
      <w:r>
        <w:rPr>
          <w:sz w:val="22"/>
          <w:szCs w:val="22"/>
        </w:rPr>
        <w:t xml:space="preserve">, </w:t>
      </w:r>
      <w:r w:rsidR="00335BCB">
        <w:rPr>
          <w:sz w:val="22"/>
          <w:szCs w:val="22"/>
        </w:rPr>
        <w:t>May</w:t>
      </w:r>
      <w:r>
        <w:rPr>
          <w:sz w:val="22"/>
          <w:szCs w:val="22"/>
        </w:rPr>
        <w:t xml:space="preserve"> 1</w:t>
      </w:r>
      <w:r w:rsidR="00131DA5">
        <w:rPr>
          <w:sz w:val="22"/>
          <w:szCs w:val="22"/>
        </w:rPr>
        <w:t>5</w:t>
      </w:r>
      <w:r w:rsidRPr="0094206D">
        <w:rPr>
          <w:sz w:val="22"/>
          <w:szCs w:val="22"/>
          <w:vertAlign w:val="superscript"/>
        </w:rPr>
        <w:t>th</w:t>
      </w:r>
      <w:r>
        <w:rPr>
          <w:sz w:val="22"/>
          <w:szCs w:val="22"/>
        </w:rPr>
        <w:t>-</w:t>
      </w:r>
      <w:r w:rsidR="00131DA5">
        <w:rPr>
          <w:sz w:val="22"/>
          <w:szCs w:val="22"/>
        </w:rPr>
        <w:t>19</w:t>
      </w:r>
      <w:r w:rsidRPr="0094206D">
        <w:rPr>
          <w:sz w:val="22"/>
          <w:szCs w:val="22"/>
          <w:vertAlign w:val="superscript"/>
        </w:rPr>
        <w:t>th</w:t>
      </w:r>
      <w:r>
        <w:rPr>
          <w:sz w:val="22"/>
          <w:szCs w:val="22"/>
        </w:rPr>
        <w:t>, 2017.</w:t>
      </w:r>
      <w:bookmarkEnd w:id="15"/>
    </w:p>
    <w:p w14:paraId="251F6AC0" w14:textId="202FD8B2" w:rsidR="0045054D" w:rsidRDefault="0045054D" w:rsidP="005D4043">
      <w:pPr>
        <w:numPr>
          <w:ilvl w:val="0"/>
          <w:numId w:val="2"/>
        </w:numPr>
        <w:spacing w:before="100" w:beforeAutospacing="1" w:after="100" w:afterAutospacing="1"/>
        <w:ind w:left="562" w:hanging="562"/>
        <w:rPr>
          <w:sz w:val="22"/>
          <w:szCs w:val="22"/>
        </w:rPr>
      </w:pPr>
      <w:r w:rsidRPr="00134038">
        <w:rPr>
          <w:sz w:val="22"/>
          <w:szCs w:val="22"/>
        </w:rPr>
        <w:t xml:space="preserve">3GPP RAN1 </w:t>
      </w:r>
      <w:r w:rsidR="008E4411">
        <w:rPr>
          <w:sz w:val="22"/>
          <w:szCs w:val="22"/>
        </w:rPr>
        <w:t>#88Bis</w:t>
      </w:r>
      <w:r w:rsidRPr="00134038">
        <w:rPr>
          <w:sz w:val="22"/>
          <w:szCs w:val="22"/>
        </w:rPr>
        <w:t xml:space="preserve"> Chairman Notes, “Chairman’s Notes RAN1_</w:t>
      </w:r>
      <w:r w:rsidR="008E4411">
        <w:rPr>
          <w:sz w:val="22"/>
          <w:szCs w:val="22"/>
        </w:rPr>
        <w:t>88bis</w:t>
      </w:r>
      <w:r w:rsidRPr="00134038">
        <w:rPr>
          <w:sz w:val="22"/>
          <w:szCs w:val="22"/>
        </w:rPr>
        <w:t xml:space="preserve">_final”, </w:t>
      </w:r>
      <w:r w:rsidR="0094206D">
        <w:rPr>
          <w:sz w:val="22"/>
          <w:szCs w:val="22"/>
        </w:rPr>
        <w:t>Ap</w:t>
      </w:r>
      <w:r w:rsidR="008E4411">
        <w:rPr>
          <w:sz w:val="22"/>
          <w:szCs w:val="22"/>
        </w:rPr>
        <w:t>ril</w:t>
      </w:r>
      <w:r w:rsidRPr="00134038">
        <w:rPr>
          <w:sz w:val="22"/>
          <w:szCs w:val="22"/>
        </w:rPr>
        <w:t xml:space="preserve"> </w:t>
      </w:r>
      <w:r w:rsidR="008E4411">
        <w:rPr>
          <w:sz w:val="22"/>
          <w:szCs w:val="22"/>
        </w:rPr>
        <w:t>3</w:t>
      </w:r>
      <w:r w:rsidR="008E4411" w:rsidRPr="008E4411">
        <w:rPr>
          <w:sz w:val="22"/>
          <w:szCs w:val="22"/>
          <w:vertAlign w:val="superscript"/>
        </w:rPr>
        <w:t>rd</w:t>
      </w:r>
      <w:r w:rsidR="008E4411">
        <w:rPr>
          <w:sz w:val="22"/>
          <w:szCs w:val="22"/>
        </w:rPr>
        <w:t xml:space="preserve"> – 7</w:t>
      </w:r>
      <w:r w:rsidR="008E4411" w:rsidRPr="008E4411">
        <w:rPr>
          <w:sz w:val="22"/>
          <w:szCs w:val="22"/>
          <w:vertAlign w:val="superscript"/>
        </w:rPr>
        <w:t>th</w:t>
      </w:r>
      <w:r w:rsidR="008E4411">
        <w:rPr>
          <w:sz w:val="22"/>
          <w:szCs w:val="22"/>
        </w:rPr>
        <w:t>, 2017</w:t>
      </w:r>
      <w:r w:rsidR="009C566E">
        <w:rPr>
          <w:sz w:val="22"/>
          <w:szCs w:val="22"/>
        </w:rPr>
        <w:t xml:space="preserve">, </w:t>
      </w:r>
      <w:r w:rsidR="008E4411">
        <w:rPr>
          <w:sz w:val="22"/>
          <w:szCs w:val="22"/>
        </w:rPr>
        <w:t>Spokane</w:t>
      </w:r>
      <w:r w:rsidRPr="00134038">
        <w:rPr>
          <w:sz w:val="22"/>
          <w:szCs w:val="22"/>
        </w:rPr>
        <w:t xml:space="preserve">, </w:t>
      </w:r>
      <w:r w:rsidR="008E4411">
        <w:rPr>
          <w:sz w:val="22"/>
          <w:szCs w:val="22"/>
        </w:rPr>
        <w:t>USA</w:t>
      </w:r>
      <w:r w:rsidR="00BC05BE" w:rsidRPr="00134038">
        <w:rPr>
          <w:sz w:val="22"/>
          <w:szCs w:val="22"/>
        </w:rPr>
        <w:t>.</w:t>
      </w:r>
      <w:bookmarkEnd w:id="12"/>
    </w:p>
    <w:p w14:paraId="0AA31216" w14:textId="77777777" w:rsidR="00284E79" w:rsidRPr="00026219" w:rsidRDefault="00284E79" w:rsidP="00284E79">
      <w:pPr>
        <w:numPr>
          <w:ilvl w:val="0"/>
          <w:numId w:val="2"/>
        </w:numPr>
        <w:spacing w:before="100" w:beforeAutospacing="1" w:after="100" w:afterAutospacing="1"/>
        <w:ind w:left="562" w:hanging="562"/>
        <w:rPr>
          <w:sz w:val="22"/>
          <w:szCs w:val="22"/>
        </w:rPr>
      </w:pPr>
      <w:bookmarkStart w:id="19" w:name="_Ref481657445"/>
      <w:r>
        <w:rPr>
          <w:sz w:val="22"/>
          <w:szCs w:val="22"/>
        </w:rPr>
        <w:t>RP-170741, “</w:t>
      </w:r>
      <w:r w:rsidRPr="00026219">
        <w:rPr>
          <w:sz w:val="22"/>
          <w:szCs w:val="22"/>
        </w:rPr>
        <w:t>Way Forward on the overall 5G-NR eMBB workplan”</w:t>
      </w:r>
      <w:r>
        <w:rPr>
          <w:sz w:val="22"/>
          <w:szCs w:val="22"/>
        </w:rPr>
        <w:t xml:space="preserve">, RAN#75, </w:t>
      </w:r>
      <w:r w:rsidRPr="00026219">
        <w:rPr>
          <w:sz w:val="22"/>
          <w:szCs w:val="22"/>
          <w:lang w:val="en-GB"/>
        </w:rPr>
        <w:t>Dubrovnik</w:t>
      </w:r>
      <w:r>
        <w:rPr>
          <w:sz w:val="22"/>
          <w:szCs w:val="22"/>
          <w:lang w:val="en-GB"/>
        </w:rPr>
        <w:t>, Croatia, March 6-9, 2017</w:t>
      </w:r>
      <w:bookmarkEnd w:id="19"/>
    </w:p>
    <w:p w14:paraId="2CF98F3D" w14:textId="77777777" w:rsidR="00284E79" w:rsidRDefault="00284E79" w:rsidP="00284E79">
      <w:pPr>
        <w:numPr>
          <w:ilvl w:val="0"/>
          <w:numId w:val="2"/>
        </w:numPr>
        <w:spacing w:before="100" w:beforeAutospacing="1" w:after="100" w:afterAutospacing="1"/>
        <w:ind w:left="562" w:hanging="562"/>
        <w:rPr>
          <w:sz w:val="22"/>
          <w:szCs w:val="22"/>
        </w:rPr>
      </w:pPr>
      <w:bookmarkStart w:id="20" w:name="_Ref481669477"/>
      <w:r>
        <w:rPr>
          <w:sz w:val="22"/>
          <w:szCs w:val="22"/>
        </w:rPr>
        <w:t>R4-1704411, “</w:t>
      </w:r>
      <w:r w:rsidRPr="002E379E">
        <w:rPr>
          <w:rFonts w:hint="eastAsia"/>
          <w:sz w:val="22"/>
          <w:szCs w:val="22"/>
          <w:lang w:val="en-GB"/>
        </w:rPr>
        <w:t>Proposal of frequency ranges for LTE-NR coexistence with UL sharing</w:t>
      </w:r>
      <w:r>
        <w:rPr>
          <w:sz w:val="22"/>
          <w:szCs w:val="22"/>
        </w:rPr>
        <w:t>”, RAN4#82bis, Spokane, US, April 3-7, 2017</w:t>
      </w:r>
      <w:bookmarkEnd w:id="20"/>
    </w:p>
    <w:p w14:paraId="7CF8E84E" w14:textId="77777777" w:rsidR="00284E79" w:rsidRPr="00503F7A" w:rsidRDefault="00284E79" w:rsidP="00284E79">
      <w:pPr>
        <w:numPr>
          <w:ilvl w:val="0"/>
          <w:numId w:val="2"/>
        </w:numPr>
        <w:spacing w:before="100" w:beforeAutospacing="1" w:after="100" w:afterAutospacing="1"/>
        <w:ind w:left="562" w:hanging="562"/>
        <w:rPr>
          <w:sz w:val="22"/>
          <w:szCs w:val="22"/>
          <w:lang w:val="en-GB"/>
        </w:rPr>
      </w:pPr>
      <w:bookmarkStart w:id="21" w:name="_Ref481669492"/>
      <w:r>
        <w:rPr>
          <w:sz w:val="22"/>
          <w:szCs w:val="22"/>
        </w:rPr>
        <w:t>R4-1704410</w:t>
      </w:r>
      <w:r w:rsidRPr="00503F7A">
        <w:rPr>
          <w:sz w:val="22"/>
          <w:szCs w:val="22"/>
          <w:lang w:val="en-GB"/>
        </w:rPr>
        <w:t xml:space="preserve">, “WF on 3.3-4.2 </w:t>
      </w:r>
      <w:r>
        <w:rPr>
          <w:sz w:val="22"/>
          <w:szCs w:val="22"/>
          <w:lang w:val="en-GB"/>
        </w:rPr>
        <w:t xml:space="preserve">GHz and </w:t>
      </w:r>
      <w:r w:rsidRPr="00503F7A">
        <w:rPr>
          <w:sz w:val="22"/>
          <w:szCs w:val="22"/>
          <w:lang w:val="en-GB"/>
        </w:rPr>
        <w:t>4.4-4.99 GHz NR spectrum”</w:t>
      </w:r>
      <w:r>
        <w:rPr>
          <w:sz w:val="22"/>
          <w:szCs w:val="22"/>
        </w:rPr>
        <w:t>, RAN4#82bis, Spokane, US, April 3-7, 2017</w:t>
      </w:r>
      <w:bookmarkEnd w:id="21"/>
    </w:p>
    <w:p w14:paraId="7C901A4D" w14:textId="3C065325" w:rsidR="00284E79" w:rsidRPr="00284E79" w:rsidRDefault="00284E79" w:rsidP="00284E79">
      <w:pPr>
        <w:numPr>
          <w:ilvl w:val="0"/>
          <w:numId w:val="2"/>
        </w:numPr>
        <w:spacing w:before="100" w:beforeAutospacing="1" w:after="100" w:afterAutospacing="1"/>
        <w:ind w:left="562" w:hanging="562"/>
        <w:rPr>
          <w:sz w:val="22"/>
          <w:szCs w:val="22"/>
          <w:lang w:val="en-GB"/>
        </w:rPr>
      </w:pPr>
      <w:bookmarkStart w:id="22" w:name="_Ref481669506"/>
      <w:r>
        <w:rPr>
          <w:sz w:val="22"/>
          <w:szCs w:val="22"/>
        </w:rPr>
        <w:t>R4-</w:t>
      </w:r>
      <w:r w:rsidRPr="00503F7A">
        <w:rPr>
          <w:sz w:val="22"/>
          <w:szCs w:val="22"/>
          <w:lang w:val="en-GB"/>
        </w:rPr>
        <w:t>1703999, “European LTE-NR band combinations, and coexistence analysis”, RAN4#82bis, Spokane, US, April 3</w:t>
      </w:r>
      <w:r>
        <w:rPr>
          <w:sz w:val="22"/>
          <w:szCs w:val="22"/>
        </w:rPr>
        <w:t>-7, 2017</w:t>
      </w:r>
      <w:bookmarkEnd w:id="22"/>
    </w:p>
    <w:bookmarkEnd w:id="13"/>
    <w:p w14:paraId="5A96B561" w14:textId="3F6995B2" w:rsidR="00B930AA" w:rsidRPr="00134038" w:rsidRDefault="00B930AA" w:rsidP="00826C30">
      <w:pPr>
        <w:spacing w:before="100" w:beforeAutospacing="1" w:after="100" w:afterAutospacing="1"/>
        <w:ind w:left="567"/>
        <w:rPr>
          <w:sz w:val="22"/>
        </w:rPr>
      </w:pPr>
    </w:p>
    <w:sectPr w:rsidR="00B930AA" w:rsidRPr="00134038"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B399F" w14:textId="77777777" w:rsidR="008741E3" w:rsidRDefault="008741E3">
      <w:r>
        <w:separator/>
      </w:r>
    </w:p>
  </w:endnote>
  <w:endnote w:type="continuationSeparator" w:id="0">
    <w:p w14:paraId="2BE598A2" w14:textId="77777777" w:rsidR="008741E3" w:rsidRDefault="008741E3">
      <w:r>
        <w:continuationSeparator/>
      </w:r>
    </w:p>
  </w:endnote>
  <w:endnote w:type="continuationNotice" w:id="1">
    <w:p w14:paraId="5AEBCF74" w14:textId="77777777" w:rsidR="008741E3" w:rsidRDefault="00874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ＭＳ 明朝">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AA0C75" w:rsidRDefault="00AA0C7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A0C75" w:rsidRDefault="00AA0C75"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AA0C75" w:rsidRDefault="00AA0C7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76DC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6DC7">
      <w:rPr>
        <w:rStyle w:val="PageNumber"/>
      </w:rPr>
      <w:t>7</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AB3D0" w14:textId="77777777" w:rsidR="008741E3" w:rsidRDefault="008741E3">
      <w:r>
        <w:separator/>
      </w:r>
    </w:p>
  </w:footnote>
  <w:footnote w:type="continuationSeparator" w:id="0">
    <w:p w14:paraId="7D4421CC" w14:textId="77777777" w:rsidR="008741E3" w:rsidRDefault="008741E3">
      <w:r>
        <w:continuationSeparator/>
      </w:r>
    </w:p>
  </w:footnote>
  <w:footnote w:type="continuationNotice" w:id="1">
    <w:p w14:paraId="394E0C65" w14:textId="77777777" w:rsidR="008741E3" w:rsidRDefault="008741E3">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AA0C75" w:rsidRDefault="00AA0C7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nsid w:val="036018CA"/>
    <w:multiLevelType w:val="hybridMultilevel"/>
    <w:tmpl w:val="4C42EB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31D70E7"/>
    <w:multiLevelType w:val="hybridMultilevel"/>
    <w:tmpl w:val="239C5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5219CE"/>
    <w:multiLevelType w:val="hybridMultilevel"/>
    <w:tmpl w:val="360CF7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B3835"/>
    <w:multiLevelType w:val="hybridMultilevel"/>
    <w:tmpl w:val="FB54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0F26B0"/>
    <w:multiLevelType w:val="hybridMultilevel"/>
    <w:tmpl w:val="40C8A510"/>
    <w:lvl w:ilvl="0" w:tplc="5F4A0AEC">
      <w:start w:val="1"/>
      <w:numFmt w:val="decimal"/>
      <w:lvlText w:val="%1)"/>
      <w:lvlJc w:val="left"/>
      <w:pPr>
        <w:ind w:left="720" w:hanging="360"/>
      </w:pPr>
      <w:rPr>
        <w:rFonts w:ascii="Helvetica" w:hAnsi="Helvetica"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A8410D"/>
    <w:multiLevelType w:val="hybridMultilevel"/>
    <w:tmpl w:val="86AAA290"/>
    <w:lvl w:ilvl="0" w:tplc="8CC25E92">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2">
    <w:nsid w:val="2B6913D1"/>
    <w:multiLevelType w:val="hybridMultilevel"/>
    <w:tmpl w:val="F5101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A70EBD"/>
    <w:multiLevelType w:val="hybridMultilevel"/>
    <w:tmpl w:val="1A0808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B73E47"/>
    <w:multiLevelType w:val="hybridMultilevel"/>
    <w:tmpl w:val="C68C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95B6329"/>
    <w:multiLevelType w:val="hybridMultilevel"/>
    <w:tmpl w:val="35AED872"/>
    <w:lvl w:ilvl="0" w:tplc="15C6B36E">
      <w:start w:val="4"/>
      <w:numFmt w:val="bullet"/>
      <w:lvlText w:val=""/>
      <w:lvlJc w:val="left"/>
      <w:pPr>
        <w:ind w:left="720" w:hanging="360"/>
      </w:pPr>
      <w:rPr>
        <w:rFonts w:ascii="Symbol" w:eastAsia="SimSu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D12A6C"/>
    <w:multiLevelType w:val="hybridMultilevel"/>
    <w:tmpl w:val="3F86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A00BC7"/>
    <w:multiLevelType w:val="hybridMultilevel"/>
    <w:tmpl w:val="0298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F34B86"/>
    <w:multiLevelType w:val="hybridMultilevel"/>
    <w:tmpl w:val="339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F907EE"/>
    <w:multiLevelType w:val="multilevel"/>
    <w:tmpl w:val="B366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23">
    <w:nsid w:val="65E9565E"/>
    <w:multiLevelType w:val="hybridMultilevel"/>
    <w:tmpl w:val="3222CD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077594"/>
    <w:multiLevelType w:val="hybridMultilevel"/>
    <w:tmpl w:val="EF82F2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FF2792"/>
    <w:multiLevelType w:val="hybridMultilevel"/>
    <w:tmpl w:val="8842C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3"/>
  </w:num>
  <w:num w:numId="4">
    <w:abstractNumId w:val="16"/>
  </w:num>
  <w:num w:numId="5">
    <w:abstractNumId w:val="7"/>
  </w:num>
  <w:num w:numId="6">
    <w:abstractNumId w:val="11"/>
  </w:num>
  <w:num w:numId="7">
    <w:abstractNumId w:val="4"/>
  </w:num>
  <w:num w:numId="8">
    <w:abstractNumId w:val="12"/>
  </w:num>
  <w:num w:numId="9">
    <w:abstractNumId w:val="20"/>
  </w:num>
  <w:num w:numId="10">
    <w:abstractNumId w:val="25"/>
  </w:num>
  <w:num w:numId="11">
    <w:abstractNumId w:val="18"/>
  </w:num>
  <w:num w:numId="12">
    <w:abstractNumId w:val="1"/>
  </w:num>
  <w:num w:numId="13">
    <w:abstractNumId w:val="14"/>
  </w:num>
  <w:num w:numId="14">
    <w:abstractNumId w:val="9"/>
  </w:num>
  <w:num w:numId="15">
    <w:abstractNumId w:val="21"/>
  </w:num>
  <w:num w:numId="16">
    <w:abstractNumId w:val="24"/>
  </w:num>
  <w:num w:numId="17">
    <w:abstractNumId w:val="23"/>
  </w:num>
  <w:num w:numId="18">
    <w:abstractNumId w:val="10"/>
  </w:num>
  <w:num w:numId="19">
    <w:abstractNumId w:val="17"/>
  </w:num>
  <w:num w:numId="20">
    <w:abstractNumId w:val="22"/>
  </w:num>
  <w:num w:numId="21">
    <w:abstractNumId w:val="6"/>
  </w:num>
  <w:num w:numId="22">
    <w:abstractNumId w:val="2"/>
  </w:num>
  <w:num w:numId="23">
    <w:abstractNumId w:val="15"/>
  </w:num>
  <w:num w:numId="24">
    <w:abstractNumId w:val="5"/>
  </w:num>
  <w:num w:numId="25">
    <w:abstractNumId w:val="19"/>
  </w:num>
  <w:num w:numId="2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83F"/>
    <w:rsid w:val="00000ECA"/>
    <w:rsid w:val="00000F7F"/>
    <w:rsid w:val="000010B3"/>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1EB"/>
    <w:rsid w:val="00012296"/>
    <w:rsid w:val="000124D1"/>
    <w:rsid w:val="00012D57"/>
    <w:rsid w:val="00012E0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977"/>
    <w:rsid w:val="00024D64"/>
    <w:rsid w:val="00024E37"/>
    <w:rsid w:val="0002506A"/>
    <w:rsid w:val="00025336"/>
    <w:rsid w:val="000255A1"/>
    <w:rsid w:val="000258DD"/>
    <w:rsid w:val="0002591B"/>
    <w:rsid w:val="00025F2B"/>
    <w:rsid w:val="000262A1"/>
    <w:rsid w:val="000266AE"/>
    <w:rsid w:val="000268EA"/>
    <w:rsid w:val="00026905"/>
    <w:rsid w:val="00026977"/>
    <w:rsid w:val="00026B7D"/>
    <w:rsid w:val="00026C64"/>
    <w:rsid w:val="00026EF9"/>
    <w:rsid w:val="00027061"/>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0C96"/>
    <w:rsid w:val="00051135"/>
    <w:rsid w:val="000515F7"/>
    <w:rsid w:val="0005201C"/>
    <w:rsid w:val="0005241E"/>
    <w:rsid w:val="000525B8"/>
    <w:rsid w:val="0005291A"/>
    <w:rsid w:val="00052AE3"/>
    <w:rsid w:val="00052CC6"/>
    <w:rsid w:val="00052F39"/>
    <w:rsid w:val="000531A8"/>
    <w:rsid w:val="000531F5"/>
    <w:rsid w:val="000532C1"/>
    <w:rsid w:val="00053849"/>
    <w:rsid w:val="00053A47"/>
    <w:rsid w:val="00053E03"/>
    <w:rsid w:val="00054385"/>
    <w:rsid w:val="0005456E"/>
    <w:rsid w:val="00054649"/>
    <w:rsid w:val="00054ACE"/>
    <w:rsid w:val="00054AE4"/>
    <w:rsid w:val="00054B6B"/>
    <w:rsid w:val="00054DAB"/>
    <w:rsid w:val="0005504C"/>
    <w:rsid w:val="00055873"/>
    <w:rsid w:val="00055B8E"/>
    <w:rsid w:val="00055C1F"/>
    <w:rsid w:val="0005602E"/>
    <w:rsid w:val="00056057"/>
    <w:rsid w:val="000565A8"/>
    <w:rsid w:val="0005723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AA"/>
    <w:rsid w:val="000659DD"/>
    <w:rsid w:val="00065D64"/>
    <w:rsid w:val="00066173"/>
    <w:rsid w:val="000667D1"/>
    <w:rsid w:val="00067087"/>
    <w:rsid w:val="0006739D"/>
    <w:rsid w:val="0006777C"/>
    <w:rsid w:val="00067FE2"/>
    <w:rsid w:val="00070192"/>
    <w:rsid w:val="00070528"/>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D44"/>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324"/>
    <w:rsid w:val="0009168D"/>
    <w:rsid w:val="000921E3"/>
    <w:rsid w:val="000927E7"/>
    <w:rsid w:val="00092987"/>
    <w:rsid w:val="00092A3D"/>
    <w:rsid w:val="000931C3"/>
    <w:rsid w:val="00093566"/>
    <w:rsid w:val="0009392B"/>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44"/>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050"/>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8E9"/>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6DA6"/>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2DEC"/>
    <w:rsid w:val="000D3514"/>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350"/>
    <w:rsid w:val="000F4A6B"/>
    <w:rsid w:val="000F4CAF"/>
    <w:rsid w:val="000F4D2F"/>
    <w:rsid w:val="000F4F44"/>
    <w:rsid w:val="000F4FA3"/>
    <w:rsid w:val="000F53CB"/>
    <w:rsid w:val="000F60F5"/>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EA"/>
    <w:rsid w:val="001021F1"/>
    <w:rsid w:val="001022EF"/>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DF3"/>
    <w:rsid w:val="00106E7E"/>
    <w:rsid w:val="00106FF1"/>
    <w:rsid w:val="0010795D"/>
    <w:rsid w:val="00107DD6"/>
    <w:rsid w:val="0011034F"/>
    <w:rsid w:val="001105A2"/>
    <w:rsid w:val="00110851"/>
    <w:rsid w:val="001108AC"/>
    <w:rsid w:val="00111051"/>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110"/>
    <w:rsid w:val="00122727"/>
    <w:rsid w:val="00122842"/>
    <w:rsid w:val="00122D3F"/>
    <w:rsid w:val="001232D2"/>
    <w:rsid w:val="0012345C"/>
    <w:rsid w:val="001236AA"/>
    <w:rsid w:val="00123975"/>
    <w:rsid w:val="00123DED"/>
    <w:rsid w:val="00123FDE"/>
    <w:rsid w:val="0012467D"/>
    <w:rsid w:val="001246EC"/>
    <w:rsid w:val="001249D7"/>
    <w:rsid w:val="001249FC"/>
    <w:rsid w:val="00124E10"/>
    <w:rsid w:val="00125078"/>
    <w:rsid w:val="00125201"/>
    <w:rsid w:val="001252FE"/>
    <w:rsid w:val="001255A6"/>
    <w:rsid w:val="001255C4"/>
    <w:rsid w:val="00125D34"/>
    <w:rsid w:val="0012636F"/>
    <w:rsid w:val="001268D1"/>
    <w:rsid w:val="001274AC"/>
    <w:rsid w:val="001275E6"/>
    <w:rsid w:val="00127B9E"/>
    <w:rsid w:val="00127DE2"/>
    <w:rsid w:val="00127F28"/>
    <w:rsid w:val="0013016D"/>
    <w:rsid w:val="00130714"/>
    <w:rsid w:val="00130953"/>
    <w:rsid w:val="00130BBD"/>
    <w:rsid w:val="00131683"/>
    <w:rsid w:val="00131AC6"/>
    <w:rsid w:val="00131DA5"/>
    <w:rsid w:val="001321CE"/>
    <w:rsid w:val="001322B0"/>
    <w:rsid w:val="00132671"/>
    <w:rsid w:val="00132767"/>
    <w:rsid w:val="00132917"/>
    <w:rsid w:val="00132E89"/>
    <w:rsid w:val="00133020"/>
    <w:rsid w:val="0013327F"/>
    <w:rsid w:val="0013334C"/>
    <w:rsid w:val="00133EBD"/>
    <w:rsid w:val="00134038"/>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3F"/>
    <w:rsid w:val="00140E5E"/>
    <w:rsid w:val="001410AA"/>
    <w:rsid w:val="001410F1"/>
    <w:rsid w:val="00141853"/>
    <w:rsid w:val="001418FE"/>
    <w:rsid w:val="00141E46"/>
    <w:rsid w:val="00141ED1"/>
    <w:rsid w:val="00141F72"/>
    <w:rsid w:val="0014206B"/>
    <w:rsid w:val="00142093"/>
    <w:rsid w:val="001428DC"/>
    <w:rsid w:val="0014298E"/>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CE9"/>
    <w:rsid w:val="00147D65"/>
    <w:rsid w:val="00147D91"/>
    <w:rsid w:val="0015013E"/>
    <w:rsid w:val="001508E1"/>
    <w:rsid w:val="00150E73"/>
    <w:rsid w:val="001510ED"/>
    <w:rsid w:val="001517AB"/>
    <w:rsid w:val="001517F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89"/>
    <w:rsid w:val="00156DD1"/>
    <w:rsid w:val="00157248"/>
    <w:rsid w:val="0016019C"/>
    <w:rsid w:val="001601C7"/>
    <w:rsid w:val="001602C2"/>
    <w:rsid w:val="001603B9"/>
    <w:rsid w:val="00160518"/>
    <w:rsid w:val="00160674"/>
    <w:rsid w:val="00160786"/>
    <w:rsid w:val="00162262"/>
    <w:rsid w:val="001623A3"/>
    <w:rsid w:val="00162BD5"/>
    <w:rsid w:val="00162CF1"/>
    <w:rsid w:val="00162F82"/>
    <w:rsid w:val="001630E4"/>
    <w:rsid w:val="0016317C"/>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1E9"/>
    <w:rsid w:val="0016733C"/>
    <w:rsid w:val="0016764C"/>
    <w:rsid w:val="0017014F"/>
    <w:rsid w:val="00170397"/>
    <w:rsid w:val="00170482"/>
    <w:rsid w:val="001705EB"/>
    <w:rsid w:val="001706E4"/>
    <w:rsid w:val="001708D0"/>
    <w:rsid w:val="00170E05"/>
    <w:rsid w:val="00170F9C"/>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26B"/>
    <w:rsid w:val="00176414"/>
    <w:rsid w:val="00176BDB"/>
    <w:rsid w:val="0017714C"/>
    <w:rsid w:val="0017722E"/>
    <w:rsid w:val="00177479"/>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22E"/>
    <w:rsid w:val="001848BF"/>
    <w:rsid w:val="00184A29"/>
    <w:rsid w:val="00184DAB"/>
    <w:rsid w:val="00184F51"/>
    <w:rsid w:val="00185257"/>
    <w:rsid w:val="00185E05"/>
    <w:rsid w:val="00185E59"/>
    <w:rsid w:val="00185F10"/>
    <w:rsid w:val="00185FDA"/>
    <w:rsid w:val="00186395"/>
    <w:rsid w:val="001863E3"/>
    <w:rsid w:val="0018695F"/>
    <w:rsid w:val="00186B4D"/>
    <w:rsid w:val="0018710F"/>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0EAF"/>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3A4"/>
    <w:rsid w:val="001B0BF8"/>
    <w:rsid w:val="001B113B"/>
    <w:rsid w:val="001B1565"/>
    <w:rsid w:val="001B158B"/>
    <w:rsid w:val="001B2993"/>
    <w:rsid w:val="001B2C18"/>
    <w:rsid w:val="001B35C1"/>
    <w:rsid w:val="001B3754"/>
    <w:rsid w:val="001B3A10"/>
    <w:rsid w:val="001B41E4"/>
    <w:rsid w:val="001B4371"/>
    <w:rsid w:val="001B4C84"/>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AD9"/>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6A9"/>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3A8"/>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3FE"/>
    <w:rsid w:val="001F644E"/>
    <w:rsid w:val="001F64B3"/>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B0C"/>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917"/>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07"/>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159"/>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5E6"/>
    <w:rsid w:val="002617F6"/>
    <w:rsid w:val="00261A31"/>
    <w:rsid w:val="00261D05"/>
    <w:rsid w:val="002623AC"/>
    <w:rsid w:val="00262979"/>
    <w:rsid w:val="00263038"/>
    <w:rsid w:val="002631DC"/>
    <w:rsid w:val="0026382D"/>
    <w:rsid w:val="0026385F"/>
    <w:rsid w:val="00263B1E"/>
    <w:rsid w:val="00263DD9"/>
    <w:rsid w:val="00264256"/>
    <w:rsid w:val="0026432F"/>
    <w:rsid w:val="0026455A"/>
    <w:rsid w:val="0026460B"/>
    <w:rsid w:val="0026468A"/>
    <w:rsid w:val="00264741"/>
    <w:rsid w:val="00264C28"/>
    <w:rsid w:val="00264F11"/>
    <w:rsid w:val="002654D9"/>
    <w:rsid w:val="00265701"/>
    <w:rsid w:val="00265AEF"/>
    <w:rsid w:val="00265CB1"/>
    <w:rsid w:val="00265E9A"/>
    <w:rsid w:val="00266111"/>
    <w:rsid w:val="00266210"/>
    <w:rsid w:val="002664FA"/>
    <w:rsid w:val="00266867"/>
    <w:rsid w:val="00266B56"/>
    <w:rsid w:val="0026716C"/>
    <w:rsid w:val="002674A5"/>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529"/>
    <w:rsid w:val="00276660"/>
    <w:rsid w:val="002766C9"/>
    <w:rsid w:val="002768E3"/>
    <w:rsid w:val="00277512"/>
    <w:rsid w:val="002777E4"/>
    <w:rsid w:val="00277E66"/>
    <w:rsid w:val="002801E2"/>
    <w:rsid w:val="00280612"/>
    <w:rsid w:val="0028073A"/>
    <w:rsid w:val="00280960"/>
    <w:rsid w:val="0028125C"/>
    <w:rsid w:val="0028164E"/>
    <w:rsid w:val="0028168F"/>
    <w:rsid w:val="002825CE"/>
    <w:rsid w:val="00282A3B"/>
    <w:rsid w:val="00283137"/>
    <w:rsid w:val="00283165"/>
    <w:rsid w:val="002832E7"/>
    <w:rsid w:val="00283852"/>
    <w:rsid w:val="00284293"/>
    <w:rsid w:val="00284E79"/>
    <w:rsid w:val="00284E7F"/>
    <w:rsid w:val="0028550D"/>
    <w:rsid w:val="00285520"/>
    <w:rsid w:val="00285894"/>
    <w:rsid w:val="00285E18"/>
    <w:rsid w:val="00285E28"/>
    <w:rsid w:val="002862C7"/>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998"/>
    <w:rsid w:val="002A6EF8"/>
    <w:rsid w:val="002A732C"/>
    <w:rsid w:val="002A7A6A"/>
    <w:rsid w:val="002A7AB4"/>
    <w:rsid w:val="002A7C20"/>
    <w:rsid w:val="002B03FF"/>
    <w:rsid w:val="002B053A"/>
    <w:rsid w:val="002B07BF"/>
    <w:rsid w:val="002B0805"/>
    <w:rsid w:val="002B0960"/>
    <w:rsid w:val="002B0BEF"/>
    <w:rsid w:val="002B0C99"/>
    <w:rsid w:val="002B10F9"/>
    <w:rsid w:val="002B12C7"/>
    <w:rsid w:val="002B1AFA"/>
    <w:rsid w:val="002B21D6"/>
    <w:rsid w:val="002B221A"/>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D56"/>
    <w:rsid w:val="002C04C2"/>
    <w:rsid w:val="002C0601"/>
    <w:rsid w:val="002C0818"/>
    <w:rsid w:val="002C0D11"/>
    <w:rsid w:val="002C165F"/>
    <w:rsid w:val="002C1B17"/>
    <w:rsid w:val="002C203A"/>
    <w:rsid w:val="002C2AE9"/>
    <w:rsid w:val="002C2B29"/>
    <w:rsid w:val="002C2E8A"/>
    <w:rsid w:val="002C2FCD"/>
    <w:rsid w:val="002C3AE4"/>
    <w:rsid w:val="002C3E89"/>
    <w:rsid w:val="002C42AA"/>
    <w:rsid w:val="002C4AF6"/>
    <w:rsid w:val="002C5533"/>
    <w:rsid w:val="002C55D3"/>
    <w:rsid w:val="002C5620"/>
    <w:rsid w:val="002C58F2"/>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2D4"/>
    <w:rsid w:val="002D13B7"/>
    <w:rsid w:val="002D29AA"/>
    <w:rsid w:val="002D2B4E"/>
    <w:rsid w:val="002D2B96"/>
    <w:rsid w:val="002D2DA9"/>
    <w:rsid w:val="002D3968"/>
    <w:rsid w:val="002D425A"/>
    <w:rsid w:val="002D4314"/>
    <w:rsid w:val="002D4A54"/>
    <w:rsid w:val="002D4E37"/>
    <w:rsid w:val="002D52E0"/>
    <w:rsid w:val="002D5B00"/>
    <w:rsid w:val="002D5DEA"/>
    <w:rsid w:val="002D6127"/>
    <w:rsid w:val="002D61BE"/>
    <w:rsid w:val="002D61F0"/>
    <w:rsid w:val="002D7235"/>
    <w:rsid w:val="002D76E8"/>
    <w:rsid w:val="002D7D66"/>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CFD"/>
    <w:rsid w:val="002E5D86"/>
    <w:rsid w:val="002E5DD7"/>
    <w:rsid w:val="002E6809"/>
    <w:rsid w:val="002E706F"/>
    <w:rsid w:val="002F0045"/>
    <w:rsid w:val="002F00F0"/>
    <w:rsid w:val="002F025B"/>
    <w:rsid w:val="002F0357"/>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C1A"/>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D0"/>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B42"/>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693"/>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6BD"/>
    <w:rsid w:val="00325FC7"/>
    <w:rsid w:val="00326175"/>
    <w:rsid w:val="0032651E"/>
    <w:rsid w:val="003267A6"/>
    <w:rsid w:val="00327048"/>
    <w:rsid w:val="003271E3"/>
    <w:rsid w:val="003272D0"/>
    <w:rsid w:val="003273DE"/>
    <w:rsid w:val="003276C7"/>
    <w:rsid w:val="003278C7"/>
    <w:rsid w:val="0032793B"/>
    <w:rsid w:val="00327AEA"/>
    <w:rsid w:val="00327D99"/>
    <w:rsid w:val="00327FA5"/>
    <w:rsid w:val="003303F5"/>
    <w:rsid w:val="003308C4"/>
    <w:rsid w:val="00330C30"/>
    <w:rsid w:val="00330DE8"/>
    <w:rsid w:val="00331B9A"/>
    <w:rsid w:val="00332123"/>
    <w:rsid w:val="003321C3"/>
    <w:rsid w:val="00332962"/>
    <w:rsid w:val="00332D99"/>
    <w:rsid w:val="0033374E"/>
    <w:rsid w:val="00333C40"/>
    <w:rsid w:val="00333EB0"/>
    <w:rsid w:val="003347E2"/>
    <w:rsid w:val="003348FB"/>
    <w:rsid w:val="00334E18"/>
    <w:rsid w:val="00335217"/>
    <w:rsid w:val="00335250"/>
    <w:rsid w:val="00335670"/>
    <w:rsid w:val="0033572D"/>
    <w:rsid w:val="0033592C"/>
    <w:rsid w:val="00335938"/>
    <w:rsid w:val="00335BCB"/>
    <w:rsid w:val="00335E2A"/>
    <w:rsid w:val="00336780"/>
    <w:rsid w:val="003367C5"/>
    <w:rsid w:val="0033685E"/>
    <w:rsid w:val="00336DAD"/>
    <w:rsid w:val="00336DB3"/>
    <w:rsid w:val="00336FDC"/>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0E35"/>
    <w:rsid w:val="003617B5"/>
    <w:rsid w:val="0036185C"/>
    <w:rsid w:val="00361B1A"/>
    <w:rsid w:val="0036227D"/>
    <w:rsid w:val="0036262C"/>
    <w:rsid w:val="00362C5A"/>
    <w:rsid w:val="003635B6"/>
    <w:rsid w:val="00363A03"/>
    <w:rsid w:val="00363F86"/>
    <w:rsid w:val="00363FC9"/>
    <w:rsid w:val="00364A58"/>
    <w:rsid w:val="00364F52"/>
    <w:rsid w:val="00365023"/>
    <w:rsid w:val="00365644"/>
    <w:rsid w:val="0036590C"/>
    <w:rsid w:val="003665C5"/>
    <w:rsid w:val="00366B3A"/>
    <w:rsid w:val="00367344"/>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372"/>
    <w:rsid w:val="003744CB"/>
    <w:rsid w:val="0037450B"/>
    <w:rsid w:val="00374804"/>
    <w:rsid w:val="003748F9"/>
    <w:rsid w:val="00374C80"/>
    <w:rsid w:val="00374E26"/>
    <w:rsid w:val="00374F06"/>
    <w:rsid w:val="00375222"/>
    <w:rsid w:val="00375407"/>
    <w:rsid w:val="00375FFC"/>
    <w:rsid w:val="0037610D"/>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0D81"/>
    <w:rsid w:val="00381B03"/>
    <w:rsid w:val="00382190"/>
    <w:rsid w:val="003821E7"/>
    <w:rsid w:val="00382304"/>
    <w:rsid w:val="00382903"/>
    <w:rsid w:val="00383D4B"/>
    <w:rsid w:val="00383DDB"/>
    <w:rsid w:val="003842A8"/>
    <w:rsid w:val="003842D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7B9"/>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1"/>
    <w:rsid w:val="00393F08"/>
    <w:rsid w:val="003946B1"/>
    <w:rsid w:val="00394775"/>
    <w:rsid w:val="00394832"/>
    <w:rsid w:val="00394948"/>
    <w:rsid w:val="00394B44"/>
    <w:rsid w:val="00394D6C"/>
    <w:rsid w:val="0039502C"/>
    <w:rsid w:val="0039511F"/>
    <w:rsid w:val="003956FE"/>
    <w:rsid w:val="003958F1"/>
    <w:rsid w:val="0039598F"/>
    <w:rsid w:val="00395BD7"/>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298"/>
    <w:rsid w:val="003B39FA"/>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0FF"/>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4DCF"/>
    <w:rsid w:val="003D519A"/>
    <w:rsid w:val="003D5717"/>
    <w:rsid w:val="003D5878"/>
    <w:rsid w:val="003D59FE"/>
    <w:rsid w:val="003D63BA"/>
    <w:rsid w:val="003D67F9"/>
    <w:rsid w:val="003D680E"/>
    <w:rsid w:val="003D69ED"/>
    <w:rsid w:val="003D6B43"/>
    <w:rsid w:val="003D6C26"/>
    <w:rsid w:val="003D6D20"/>
    <w:rsid w:val="003D7152"/>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E7D"/>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CF2"/>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05A"/>
    <w:rsid w:val="0040561F"/>
    <w:rsid w:val="00405898"/>
    <w:rsid w:val="00405A9F"/>
    <w:rsid w:val="00405D95"/>
    <w:rsid w:val="00405F90"/>
    <w:rsid w:val="0040609D"/>
    <w:rsid w:val="00406108"/>
    <w:rsid w:val="004061E8"/>
    <w:rsid w:val="00406412"/>
    <w:rsid w:val="00406D4A"/>
    <w:rsid w:val="00406F4B"/>
    <w:rsid w:val="00406FBD"/>
    <w:rsid w:val="004073B0"/>
    <w:rsid w:val="00407612"/>
    <w:rsid w:val="0041029D"/>
    <w:rsid w:val="004102A7"/>
    <w:rsid w:val="00411230"/>
    <w:rsid w:val="004116C3"/>
    <w:rsid w:val="004118C9"/>
    <w:rsid w:val="00412015"/>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394B"/>
    <w:rsid w:val="00424844"/>
    <w:rsid w:val="004251F8"/>
    <w:rsid w:val="004253B1"/>
    <w:rsid w:val="00425C97"/>
    <w:rsid w:val="00425FFD"/>
    <w:rsid w:val="004261DB"/>
    <w:rsid w:val="004262F8"/>
    <w:rsid w:val="00426442"/>
    <w:rsid w:val="0042654A"/>
    <w:rsid w:val="00426A22"/>
    <w:rsid w:val="00426A93"/>
    <w:rsid w:val="00426DFA"/>
    <w:rsid w:val="004272ED"/>
    <w:rsid w:val="004276E3"/>
    <w:rsid w:val="00427B9D"/>
    <w:rsid w:val="00427BFB"/>
    <w:rsid w:val="00427E67"/>
    <w:rsid w:val="00430178"/>
    <w:rsid w:val="004302F4"/>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546"/>
    <w:rsid w:val="00437895"/>
    <w:rsid w:val="00437D5A"/>
    <w:rsid w:val="00437E77"/>
    <w:rsid w:val="00440089"/>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3A75"/>
    <w:rsid w:val="004440FF"/>
    <w:rsid w:val="004442A7"/>
    <w:rsid w:val="00444901"/>
    <w:rsid w:val="00444934"/>
    <w:rsid w:val="00444960"/>
    <w:rsid w:val="00444F0F"/>
    <w:rsid w:val="00444F5E"/>
    <w:rsid w:val="00445513"/>
    <w:rsid w:val="00445625"/>
    <w:rsid w:val="00445907"/>
    <w:rsid w:val="00445CFF"/>
    <w:rsid w:val="00445EBF"/>
    <w:rsid w:val="004462AF"/>
    <w:rsid w:val="00446424"/>
    <w:rsid w:val="0044662A"/>
    <w:rsid w:val="004478FA"/>
    <w:rsid w:val="0045039C"/>
    <w:rsid w:val="0045054D"/>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579"/>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D8"/>
    <w:rsid w:val="004775ED"/>
    <w:rsid w:val="004778C0"/>
    <w:rsid w:val="00477B60"/>
    <w:rsid w:val="00480B03"/>
    <w:rsid w:val="00480B29"/>
    <w:rsid w:val="00480C70"/>
    <w:rsid w:val="00480CC5"/>
    <w:rsid w:val="00480EAA"/>
    <w:rsid w:val="004810E5"/>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C23"/>
    <w:rsid w:val="00485E8A"/>
    <w:rsid w:val="004860EC"/>
    <w:rsid w:val="004862DE"/>
    <w:rsid w:val="004863AA"/>
    <w:rsid w:val="004864FB"/>
    <w:rsid w:val="0048676F"/>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62"/>
    <w:rsid w:val="00492597"/>
    <w:rsid w:val="00492619"/>
    <w:rsid w:val="004927F3"/>
    <w:rsid w:val="00492AFE"/>
    <w:rsid w:val="0049349F"/>
    <w:rsid w:val="004935A4"/>
    <w:rsid w:val="004938AA"/>
    <w:rsid w:val="00493D08"/>
    <w:rsid w:val="004949D8"/>
    <w:rsid w:val="00494AF6"/>
    <w:rsid w:val="00494E75"/>
    <w:rsid w:val="00495071"/>
    <w:rsid w:val="004952FB"/>
    <w:rsid w:val="004961DB"/>
    <w:rsid w:val="0049653E"/>
    <w:rsid w:val="00496BEF"/>
    <w:rsid w:val="00496DC2"/>
    <w:rsid w:val="00496E38"/>
    <w:rsid w:val="00497C03"/>
    <w:rsid w:val="00497CCB"/>
    <w:rsid w:val="004A01E1"/>
    <w:rsid w:val="004A02B2"/>
    <w:rsid w:val="004A03B7"/>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18E"/>
    <w:rsid w:val="004B11FD"/>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3D4D"/>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4B"/>
    <w:rsid w:val="004D2474"/>
    <w:rsid w:val="004D27C4"/>
    <w:rsid w:val="004D2E57"/>
    <w:rsid w:val="004D30AD"/>
    <w:rsid w:val="004D3251"/>
    <w:rsid w:val="004D3403"/>
    <w:rsid w:val="004D39CA"/>
    <w:rsid w:val="004D40D5"/>
    <w:rsid w:val="004D4968"/>
    <w:rsid w:val="004D4A8A"/>
    <w:rsid w:val="004D4ABF"/>
    <w:rsid w:val="004D50CC"/>
    <w:rsid w:val="004D5707"/>
    <w:rsid w:val="004D5747"/>
    <w:rsid w:val="004D58D1"/>
    <w:rsid w:val="004D5F02"/>
    <w:rsid w:val="004D602D"/>
    <w:rsid w:val="004D65BA"/>
    <w:rsid w:val="004D68C0"/>
    <w:rsid w:val="004D6C88"/>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7D0"/>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A45"/>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0CF"/>
    <w:rsid w:val="005074C9"/>
    <w:rsid w:val="00507754"/>
    <w:rsid w:val="00507CAF"/>
    <w:rsid w:val="00510374"/>
    <w:rsid w:val="00510444"/>
    <w:rsid w:val="00511599"/>
    <w:rsid w:val="005119D6"/>
    <w:rsid w:val="00511E67"/>
    <w:rsid w:val="00512747"/>
    <w:rsid w:val="00512A7B"/>
    <w:rsid w:val="00512AB7"/>
    <w:rsid w:val="00512B18"/>
    <w:rsid w:val="00512D39"/>
    <w:rsid w:val="00513B8C"/>
    <w:rsid w:val="00513F8F"/>
    <w:rsid w:val="00514574"/>
    <w:rsid w:val="005147E7"/>
    <w:rsid w:val="005149A2"/>
    <w:rsid w:val="00514CEE"/>
    <w:rsid w:val="00514FBF"/>
    <w:rsid w:val="005150E4"/>
    <w:rsid w:val="00515507"/>
    <w:rsid w:val="00515708"/>
    <w:rsid w:val="00515746"/>
    <w:rsid w:val="00515907"/>
    <w:rsid w:val="00515E2B"/>
    <w:rsid w:val="00516B96"/>
    <w:rsid w:val="00516E9E"/>
    <w:rsid w:val="005173A4"/>
    <w:rsid w:val="005179DC"/>
    <w:rsid w:val="005179EB"/>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27B61"/>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BF1"/>
    <w:rsid w:val="00546D63"/>
    <w:rsid w:val="005471A3"/>
    <w:rsid w:val="00547489"/>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BD"/>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DD2"/>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2E8"/>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202"/>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9DB"/>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731"/>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648"/>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BE5"/>
    <w:rsid w:val="005D5E46"/>
    <w:rsid w:val="005D609E"/>
    <w:rsid w:val="005D64A5"/>
    <w:rsid w:val="005D6929"/>
    <w:rsid w:val="005D6B30"/>
    <w:rsid w:val="005D6E1C"/>
    <w:rsid w:val="005D7458"/>
    <w:rsid w:val="005D7539"/>
    <w:rsid w:val="005D76F4"/>
    <w:rsid w:val="005D7E04"/>
    <w:rsid w:val="005E0082"/>
    <w:rsid w:val="005E04D5"/>
    <w:rsid w:val="005E06E1"/>
    <w:rsid w:val="005E0899"/>
    <w:rsid w:val="005E0BEE"/>
    <w:rsid w:val="005E1393"/>
    <w:rsid w:val="005E1411"/>
    <w:rsid w:val="005E217B"/>
    <w:rsid w:val="005E24B0"/>
    <w:rsid w:val="005E3035"/>
    <w:rsid w:val="005E3096"/>
    <w:rsid w:val="005E35FD"/>
    <w:rsid w:val="005E383F"/>
    <w:rsid w:val="005E3B77"/>
    <w:rsid w:val="005E3BEE"/>
    <w:rsid w:val="005E48F7"/>
    <w:rsid w:val="005E4CCB"/>
    <w:rsid w:val="005E5563"/>
    <w:rsid w:val="005E59C5"/>
    <w:rsid w:val="005E5E74"/>
    <w:rsid w:val="005E61D8"/>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2A45"/>
    <w:rsid w:val="005F3509"/>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25"/>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D2"/>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EE6"/>
    <w:rsid w:val="00615F78"/>
    <w:rsid w:val="006162D2"/>
    <w:rsid w:val="006165D6"/>
    <w:rsid w:val="00616885"/>
    <w:rsid w:val="00616F90"/>
    <w:rsid w:val="00617004"/>
    <w:rsid w:val="0061717B"/>
    <w:rsid w:val="0061717F"/>
    <w:rsid w:val="006175CF"/>
    <w:rsid w:val="00617B93"/>
    <w:rsid w:val="00617B94"/>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20F"/>
    <w:rsid w:val="00630333"/>
    <w:rsid w:val="0063037C"/>
    <w:rsid w:val="00631007"/>
    <w:rsid w:val="00631826"/>
    <w:rsid w:val="00631D3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9E2"/>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670F"/>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7AE"/>
    <w:rsid w:val="006518B1"/>
    <w:rsid w:val="00651AD3"/>
    <w:rsid w:val="00651B74"/>
    <w:rsid w:val="00651FA0"/>
    <w:rsid w:val="00653217"/>
    <w:rsid w:val="00653273"/>
    <w:rsid w:val="00653FED"/>
    <w:rsid w:val="006540B5"/>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E1C"/>
    <w:rsid w:val="00657F67"/>
    <w:rsid w:val="006605DC"/>
    <w:rsid w:val="00660861"/>
    <w:rsid w:val="0066146F"/>
    <w:rsid w:val="00661636"/>
    <w:rsid w:val="00661C4E"/>
    <w:rsid w:val="00661CC2"/>
    <w:rsid w:val="006620EE"/>
    <w:rsid w:val="00662166"/>
    <w:rsid w:val="00662FA2"/>
    <w:rsid w:val="0066310A"/>
    <w:rsid w:val="006635DC"/>
    <w:rsid w:val="006635E0"/>
    <w:rsid w:val="0066369A"/>
    <w:rsid w:val="00663908"/>
    <w:rsid w:val="00663D7A"/>
    <w:rsid w:val="00663DAB"/>
    <w:rsid w:val="0066448F"/>
    <w:rsid w:val="00664678"/>
    <w:rsid w:val="006646F4"/>
    <w:rsid w:val="00664FB6"/>
    <w:rsid w:val="00665229"/>
    <w:rsid w:val="00665316"/>
    <w:rsid w:val="006654E8"/>
    <w:rsid w:val="0066568F"/>
    <w:rsid w:val="00665CCE"/>
    <w:rsid w:val="00666140"/>
    <w:rsid w:val="00666E49"/>
    <w:rsid w:val="0066725F"/>
    <w:rsid w:val="006672FC"/>
    <w:rsid w:val="00667378"/>
    <w:rsid w:val="0066745C"/>
    <w:rsid w:val="00667A27"/>
    <w:rsid w:val="00667EB1"/>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9FF"/>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B05"/>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4EC0"/>
    <w:rsid w:val="006951E3"/>
    <w:rsid w:val="00696042"/>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492"/>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8B8"/>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638"/>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8BE"/>
    <w:rsid w:val="006C5C20"/>
    <w:rsid w:val="006C5FF1"/>
    <w:rsid w:val="006C621D"/>
    <w:rsid w:val="006C6287"/>
    <w:rsid w:val="006C654C"/>
    <w:rsid w:val="006C677C"/>
    <w:rsid w:val="006C692D"/>
    <w:rsid w:val="006C6E92"/>
    <w:rsid w:val="006C7305"/>
    <w:rsid w:val="006C75C9"/>
    <w:rsid w:val="006C7CAC"/>
    <w:rsid w:val="006C7FB9"/>
    <w:rsid w:val="006D0846"/>
    <w:rsid w:val="006D0C09"/>
    <w:rsid w:val="006D1A23"/>
    <w:rsid w:val="006D1DFA"/>
    <w:rsid w:val="006D1E8B"/>
    <w:rsid w:val="006D1F1A"/>
    <w:rsid w:val="006D2039"/>
    <w:rsid w:val="006D21FF"/>
    <w:rsid w:val="006D2D7C"/>
    <w:rsid w:val="006D31AF"/>
    <w:rsid w:val="006D31DD"/>
    <w:rsid w:val="006D35CD"/>
    <w:rsid w:val="006D3D01"/>
    <w:rsid w:val="006D4133"/>
    <w:rsid w:val="006D4373"/>
    <w:rsid w:val="006D47FD"/>
    <w:rsid w:val="006D492A"/>
    <w:rsid w:val="006D493C"/>
    <w:rsid w:val="006D5457"/>
    <w:rsid w:val="006D59BF"/>
    <w:rsid w:val="006D5A62"/>
    <w:rsid w:val="006D5B1F"/>
    <w:rsid w:val="006D5EC2"/>
    <w:rsid w:val="006D5FEF"/>
    <w:rsid w:val="006D667A"/>
    <w:rsid w:val="006D72E1"/>
    <w:rsid w:val="006D74C9"/>
    <w:rsid w:val="006D7598"/>
    <w:rsid w:val="006D7B93"/>
    <w:rsid w:val="006D7BBD"/>
    <w:rsid w:val="006D7C30"/>
    <w:rsid w:val="006D7D69"/>
    <w:rsid w:val="006D7DAD"/>
    <w:rsid w:val="006D7EC6"/>
    <w:rsid w:val="006D7FDD"/>
    <w:rsid w:val="006E0566"/>
    <w:rsid w:val="006E0B16"/>
    <w:rsid w:val="006E1135"/>
    <w:rsid w:val="006E1469"/>
    <w:rsid w:val="006E176F"/>
    <w:rsid w:val="006E1C34"/>
    <w:rsid w:val="006E1E45"/>
    <w:rsid w:val="006E22CC"/>
    <w:rsid w:val="006E241F"/>
    <w:rsid w:val="006E3D3A"/>
    <w:rsid w:val="006E4646"/>
    <w:rsid w:val="006E4EB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6E1"/>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849"/>
    <w:rsid w:val="007032E6"/>
    <w:rsid w:val="007036E5"/>
    <w:rsid w:val="00703D8A"/>
    <w:rsid w:val="00704123"/>
    <w:rsid w:val="00704641"/>
    <w:rsid w:val="007047A7"/>
    <w:rsid w:val="00704AE5"/>
    <w:rsid w:val="00704B21"/>
    <w:rsid w:val="007050A6"/>
    <w:rsid w:val="007056ED"/>
    <w:rsid w:val="00705B1D"/>
    <w:rsid w:val="00705B56"/>
    <w:rsid w:val="00705CBC"/>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2FE"/>
    <w:rsid w:val="00712A0F"/>
    <w:rsid w:val="00712FDB"/>
    <w:rsid w:val="007131B0"/>
    <w:rsid w:val="0071371F"/>
    <w:rsid w:val="0071374D"/>
    <w:rsid w:val="00714065"/>
    <w:rsid w:val="00714186"/>
    <w:rsid w:val="00714312"/>
    <w:rsid w:val="00714796"/>
    <w:rsid w:val="00714873"/>
    <w:rsid w:val="00714D6A"/>
    <w:rsid w:val="007159A8"/>
    <w:rsid w:val="00715F49"/>
    <w:rsid w:val="00716324"/>
    <w:rsid w:val="007163BF"/>
    <w:rsid w:val="0071649C"/>
    <w:rsid w:val="00716B63"/>
    <w:rsid w:val="00716FC0"/>
    <w:rsid w:val="00717267"/>
    <w:rsid w:val="00717658"/>
    <w:rsid w:val="00717692"/>
    <w:rsid w:val="00717890"/>
    <w:rsid w:val="007178EE"/>
    <w:rsid w:val="00720018"/>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121"/>
    <w:rsid w:val="007273EC"/>
    <w:rsid w:val="007276B8"/>
    <w:rsid w:val="007279F1"/>
    <w:rsid w:val="00727E01"/>
    <w:rsid w:val="00727E9F"/>
    <w:rsid w:val="0073128B"/>
    <w:rsid w:val="0073150C"/>
    <w:rsid w:val="0073171A"/>
    <w:rsid w:val="0073192F"/>
    <w:rsid w:val="007325D3"/>
    <w:rsid w:val="00732885"/>
    <w:rsid w:val="00733858"/>
    <w:rsid w:val="00733A70"/>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A6"/>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A9"/>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463"/>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C10"/>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CB6"/>
    <w:rsid w:val="007754B2"/>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96A"/>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803"/>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0F05"/>
    <w:rsid w:val="007B1061"/>
    <w:rsid w:val="007B1F9A"/>
    <w:rsid w:val="007B2074"/>
    <w:rsid w:val="007B21AC"/>
    <w:rsid w:val="007B2638"/>
    <w:rsid w:val="007B2BB1"/>
    <w:rsid w:val="007B3476"/>
    <w:rsid w:val="007B3F21"/>
    <w:rsid w:val="007B448A"/>
    <w:rsid w:val="007B44DC"/>
    <w:rsid w:val="007B4543"/>
    <w:rsid w:val="007B4937"/>
    <w:rsid w:val="007B4D3D"/>
    <w:rsid w:val="007B550D"/>
    <w:rsid w:val="007B5A66"/>
    <w:rsid w:val="007B630D"/>
    <w:rsid w:val="007B733A"/>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02"/>
    <w:rsid w:val="007D0766"/>
    <w:rsid w:val="007D098C"/>
    <w:rsid w:val="007D11B6"/>
    <w:rsid w:val="007D149C"/>
    <w:rsid w:val="007D163B"/>
    <w:rsid w:val="007D1B7C"/>
    <w:rsid w:val="007D214A"/>
    <w:rsid w:val="007D2CBD"/>
    <w:rsid w:val="007D357E"/>
    <w:rsid w:val="007D3889"/>
    <w:rsid w:val="007D39D7"/>
    <w:rsid w:val="007D413C"/>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35B"/>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3DAD"/>
    <w:rsid w:val="007E42F2"/>
    <w:rsid w:val="007E47E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64F"/>
    <w:rsid w:val="007F0B77"/>
    <w:rsid w:val="007F0B82"/>
    <w:rsid w:val="007F0DD3"/>
    <w:rsid w:val="007F1083"/>
    <w:rsid w:val="007F18C0"/>
    <w:rsid w:val="007F2477"/>
    <w:rsid w:val="007F2DBB"/>
    <w:rsid w:val="007F2ED4"/>
    <w:rsid w:val="007F3622"/>
    <w:rsid w:val="007F3960"/>
    <w:rsid w:val="007F3FB0"/>
    <w:rsid w:val="007F43A9"/>
    <w:rsid w:val="007F545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3A3"/>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67B"/>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112"/>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6BB"/>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76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012"/>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1E3"/>
    <w:rsid w:val="008742CE"/>
    <w:rsid w:val="00874656"/>
    <w:rsid w:val="00874762"/>
    <w:rsid w:val="00874E33"/>
    <w:rsid w:val="00874FAC"/>
    <w:rsid w:val="0087504C"/>
    <w:rsid w:val="00875755"/>
    <w:rsid w:val="00875905"/>
    <w:rsid w:val="008759C1"/>
    <w:rsid w:val="00875F79"/>
    <w:rsid w:val="00875FBD"/>
    <w:rsid w:val="00876AC7"/>
    <w:rsid w:val="00876DC7"/>
    <w:rsid w:val="0087763F"/>
    <w:rsid w:val="00877C45"/>
    <w:rsid w:val="00877C57"/>
    <w:rsid w:val="00877FA3"/>
    <w:rsid w:val="008804C9"/>
    <w:rsid w:val="0088071B"/>
    <w:rsid w:val="00880A1D"/>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2E8A"/>
    <w:rsid w:val="00893024"/>
    <w:rsid w:val="0089384C"/>
    <w:rsid w:val="00893B3B"/>
    <w:rsid w:val="00893BA4"/>
    <w:rsid w:val="00893DB3"/>
    <w:rsid w:val="00893FCD"/>
    <w:rsid w:val="008948A0"/>
    <w:rsid w:val="00894A2E"/>
    <w:rsid w:val="00894ADC"/>
    <w:rsid w:val="00895243"/>
    <w:rsid w:val="00895A0C"/>
    <w:rsid w:val="008961A5"/>
    <w:rsid w:val="0089699C"/>
    <w:rsid w:val="00896A89"/>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DAD"/>
    <w:rsid w:val="008A1EA1"/>
    <w:rsid w:val="008A1FBC"/>
    <w:rsid w:val="008A24BD"/>
    <w:rsid w:val="008A294D"/>
    <w:rsid w:val="008A2AAE"/>
    <w:rsid w:val="008A2F26"/>
    <w:rsid w:val="008A2F49"/>
    <w:rsid w:val="008A36ED"/>
    <w:rsid w:val="008A3898"/>
    <w:rsid w:val="008A42D8"/>
    <w:rsid w:val="008A457F"/>
    <w:rsid w:val="008A465C"/>
    <w:rsid w:val="008A4DAC"/>
    <w:rsid w:val="008A4E04"/>
    <w:rsid w:val="008A53C3"/>
    <w:rsid w:val="008A54CE"/>
    <w:rsid w:val="008A59E9"/>
    <w:rsid w:val="008A5F6D"/>
    <w:rsid w:val="008A62D3"/>
    <w:rsid w:val="008A631F"/>
    <w:rsid w:val="008A6394"/>
    <w:rsid w:val="008A668F"/>
    <w:rsid w:val="008A67DD"/>
    <w:rsid w:val="008A6F9D"/>
    <w:rsid w:val="008A72A4"/>
    <w:rsid w:val="008A758D"/>
    <w:rsid w:val="008A75C5"/>
    <w:rsid w:val="008A7669"/>
    <w:rsid w:val="008A76CB"/>
    <w:rsid w:val="008A7819"/>
    <w:rsid w:val="008A7B15"/>
    <w:rsid w:val="008B01A2"/>
    <w:rsid w:val="008B0353"/>
    <w:rsid w:val="008B0688"/>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571"/>
    <w:rsid w:val="008B3779"/>
    <w:rsid w:val="008B3A23"/>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3B"/>
    <w:rsid w:val="008C59D5"/>
    <w:rsid w:val="008C5B10"/>
    <w:rsid w:val="008C5BE8"/>
    <w:rsid w:val="008C6970"/>
    <w:rsid w:val="008C69DC"/>
    <w:rsid w:val="008C6A72"/>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DF3"/>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317"/>
    <w:rsid w:val="008D7554"/>
    <w:rsid w:val="008D7615"/>
    <w:rsid w:val="008D76A0"/>
    <w:rsid w:val="008D7787"/>
    <w:rsid w:val="008D7842"/>
    <w:rsid w:val="008D7DEB"/>
    <w:rsid w:val="008D7E1F"/>
    <w:rsid w:val="008D7E95"/>
    <w:rsid w:val="008E04B5"/>
    <w:rsid w:val="008E074C"/>
    <w:rsid w:val="008E0B57"/>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EF8"/>
    <w:rsid w:val="008E3F52"/>
    <w:rsid w:val="008E412D"/>
    <w:rsid w:val="008E4411"/>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473"/>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4F6F"/>
    <w:rsid w:val="00905380"/>
    <w:rsid w:val="00905560"/>
    <w:rsid w:val="00905A06"/>
    <w:rsid w:val="00905F49"/>
    <w:rsid w:val="00906100"/>
    <w:rsid w:val="009067B8"/>
    <w:rsid w:val="009068B0"/>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6B74"/>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06D"/>
    <w:rsid w:val="009421B3"/>
    <w:rsid w:val="00942989"/>
    <w:rsid w:val="00942BB8"/>
    <w:rsid w:val="00942E21"/>
    <w:rsid w:val="00942EF9"/>
    <w:rsid w:val="0094335F"/>
    <w:rsid w:val="0094376F"/>
    <w:rsid w:val="009441AC"/>
    <w:rsid w:val="00944202"/>
    <w:rsid w:val="00944335"/>
    <w:rsid w:val="00944371"/>
    <w:rsid w:val="0094484A"/>
    <w:rsid w:val="009449AC"/>
    <w:rsid w:val="00944AF4"/>
    <w:rsid w:val="00945157"/>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DD6"/>
    <w:rsid w:val="00957E93"/>
    <w:rsid w:val="009603AB"/>
    <w:rsid w:val="00960475"/>
    <w:rsid w:val="00960479"/>
    <w:rsid w:val="009607AF"/>
    <w:rsid w:val="00960A88"/>
    <w:rsid w:val="00960C68"/>
    <w:rsid w:val="00960CB6"/>
    <w:rsid w:val="00960D27"/>
    <w:rsid w:val="00961023"/>
    <w:rsid w:val="009612F1"/>
    <w:rsid w:val="009616FA"/>
    <w:rsid w:val="00961A61"/>
    <w:rsid w:val="00961DE0"/>
    <w:rsid w:val="00961E6D"/>
    <w:rsid w:val="00961F21"/>
    <w:rsid w:val="009621FF"/>
    <w:rsid w:val="009624EB"/>
    <w:rsid w:val="0096392B"/>
    <w:rsid w:val="0096397B"/>
    <w:rsid w:val="00964AE6"/>
    <w:rsid w:val="00964E3C"/>
    <w:rsid w:val="00964E69"/>
    <w:rsid w:val="0096504D"/>
    <w:rsid w:val="009654F0"/>
    <w:rsid w:val="009659EA"/>
    <w:rsid w:val="0096691D"/>
    <w:rsid w:val="00966EC4"/>
    <w:rsid w:val="0096766C"/>
    <w:rsid w:val="00967851"/>
    <w:rsid w:val="00967D2D"/>
    <w:rsid w:val="0097090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3C9"/>
    <w:rsid w:val="009816DB"/>
    <w:rsid w:val="00981BAF"/>
    <w:rsid w:val="00982314"/>
    <w:rsid w:val="00982768"/>
    <w:rsid w:val="00982773"/>
    <w:rsid w:val="00982AB4"/>
    <w:rsid w:val="00982E67"/>
    <w:rsid w:val="00983007"/>
    <w:rsid w:val="00983061"/>
    <w:rsid w:val="00983223"/>
    <w:rsid w:val="009835BF"/>
    <w:rsid w:val="009838CE"/>
    <w:rsid w:val="0098396C"/>
    <w:rsid w:val="00983B9C"/>
    <w:rsid w:val="00983BD1"/>
    <w:rsid w:val="00983C41"/>
    <w:rsid w:val="00983E9E"/>
    <w:rsid w:val="00984206"/>
    <w:rsid w:val="00984C8E"/>
    <w:rsid w:val="0098511E"/>
    <w:rsid w:val="00985133"/>
    <w:rsid w:val="0098541D"/>
    <w:rsid w:val="009855E3"/>
    <w:rsid w:val="00985BA2"/>
    <w:rsid w:val="00985CA4"/>
    <w:rsid w:val="0098691E"/>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DAD"/>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070"/>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2FE1"/>
    <w:rsid w:val="009A3183"/>
    <w:rsid w:val="009A32D7"/>
    <w:rsid w:val="009A3576"/>
    <w:rsid w:val="009A3A6D"/>
    <w:rsid w:val="009A3AB5"/>
    <w:rsid w:val="009A3BA5"/>
    <w:rsid w:val="009A4615"/>
    <w:rsid w:val="009A4AA9"/>
    <w:rsid w:val="009A516A"/>
    <w:rsid w:val="009A54EE"/>
    <w:rsid w:val="009A55B1"/>
    <w:rsid w:val="009A56A7"/>
    <w:rsid w:val="009A6127"/>
    <w:rsid w:val="009A62DC"/>
    <w:rsid w:val="009A637B"/>
    <w:rsid w:val="009A6456"/>
    <w:rsid w:val="009A6C74"/>
    <w:rsid w:val="009A6EE7"/>
    <w:rsid w:val="009A7154"/>
    <w:rsid w:val="009A78D1"/>
    <w:rsid w:val="009A7DFB"/>
    <w:rsid w:val="009A7E08"/>
    <w:rsid w:val="009A7E11"/>
    <w:rsid w:val="009A7F90"/>
    <w:rsid w:val="009B003C"/>
    <w:rsid w:val="009B16E6"/>
    <w:rsid w:val="009B1823"/>
    <w:rsid w:val="009B187F"/>
    <w:rsid w:val="009B2E47"/>
    <w:rsid w:val="009B3128"/>
    <w:rsid w:val="009B3685"/>
    <w:rsid w:val="009B3745"/>
    <w:rsid w:val="009B39E2"/>
    <w:rsid w:val="009B3C79"/>
    <w:rsid w:val="009B3D47"/>
    <w:rsid w:val="009B4250"/>
    <w:rsid w:val="009B471E"/>
    <w:rsid w:val="009B4821"/>
    <w:rsid w:val="009B4BD3"/>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66E"/>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62E"/>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D7AC8"/>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4E4"/>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558"/>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F01"/>
    <w:rsid w:val="00A157EC"/>
    <w:rsid w:val="00A158D3"/>
    <w:rsid w:val="00A15F2F"/>
    <w:rsid w:val="00A16150"/>
    <w:rsid w:val="00A1630B"/>
    <w:rsid w:val="00A163A7"/>
    <w:rsid w:val="00A16510"/>
    <w:rsid w:val="00A1686F"/>
    <w:rsid w:val="00A16B37"/>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2E"/>
    <w:rsid w:val="00A25296"/>
    <w:rsid w:val="00A253A6"/>
    <w:rsid w:val="00A253C6"/>
    <w:rsid w:val="00A2585A"/>
    <w:rsid w:val="00A25957"/>
    <w:rsid w:val="00A25C9D"/>
    <w:rsid w:val="00A25F70"/>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63E7"/>
    <w:rsid w:val="00A370B5"/>
    <w:rsid w:val="00A37353"/>
    <w:rsid w:val="00A37413"/>
    <w:rsid w:val="00A3747D"/>
    <w:rsid w:val="00A37A59"/>
    <w:rsid w:val="00A37D0C"/>
    <w:rsid w:val="00A37E05"/>
    <w:rsid w:val="00A40531"/>
    <w:rsid w:val="00A40660"/>
    <w:rsid w:val="00A40C1E"/>
    <w:rsid w:val="00A4167E"/>
    <w:rsid w:val="00A41798"/>
    <w:rsid w:val="00A41821"/>
    <w:rsid w:val="00A41C14"/>
    <w:rsid w:val="00A41C5C"/>
    <w:rsid w:val="00A41EF0"/>
    <w:rsid w:val="00A422A2"/>
    <w:rsid w:val="00A42493"/>
    <w:rsid w:val="00A42659"/>
    <w:rsid w:val="00A42A23"/>
    <w:rsid w:val="00A42B87"/>
    <w:rsid w:val="00A4339C"/>
    <w:rsid w:val="00A4392A"/>
    <w:rsid w:val="00A43E29"/>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47EEE"/>
    <w:rsid w:val="00A500D8"/>
    <w:rsid w:val="00A5044D"/>
    <w:rsid w:val="00A50635"/>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6D7B"/>
    <w:rsid w:val="00A6743F"/>
    <w:rsid w:val="00A677C1"/>
    <w:rsid w:val="00A67A8E"/>
    <w:rsid w:val="00A67AC6"/>
    <w:rsid w:val="00A70A35"/>
    <w:rsid w:val="00A70C9C"/>
    <w:rsid w:val="00A7100A"/>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E0E"/>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777"/>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C75"/>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455"/>
    <w:rsid w:val="00AA5584"/>
    <w:rsid w:val="00AA576F"/>
    <w:rsid w:val="00AA6026"/>
    <w:rsid w:val="00AA6206"/>
    <w:rsid w:val="00AA6207"/>
    <w:rsid w:val="00AA630A"/>
    <w:rsid w:val="00AA69EF"/>
    <w:rsid w:val="00AA6F21"/>
    <w:rsid w:val="00AA6F9A"/>
    <w:rsid w:val="00AA6FBD"/>
    <w:rsid w:val="00AA78B8"/>
    <w:rsid w:val="00AA7C4F"/>
    <w:rsid w:val="00AB001C"/>
    <w:rsid w:val="00AB02C8"/>
    <w:rsid w:val="00AB05BC"/>
    <w:rsid w:val="00AB06B8"/>
    <w:rsid w:val="00AB06E6"/>
    <w:rsid w:val="00AB0ADE"/>
    <w:rsid w:val="00AB0B59"/>
    <w:rsid w:val="00AB0CA0"/>
    <w:rsid w:val="00AB102D"/>
    <w:rsid w:val="00AB1705"/>
    <w:rsid w:val="00AB1A33"/>
    <w:rsid w:val="00AB2832"/>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17B"/>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38B"/>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A91"/>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2A4"/>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56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6EC9"/>
    <w:rsid w:val="00AE723D"/>
    <w:rsid w:val="00AE773B"/>
    <w:rsid w:val="00AE7751"/>
    <w:rsid w:val="00AE780C"/>
    <w:rsid w:val="00AE7992"/>
    <w:rsid w:val="00AF022A"/>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70C"/>
    <w:rsid w:val="00B07CBE"/>
    <w:rsid w:val="00B108ED"/>
    <w:rsid w:val="00B10931"/>
    <w:rsid w:val="00B1093D"/>
    <w:rsid w:val="00B10BE8"/>
    <w:rsid w:val="00B10DF3"/>
    <w:rsid w:val="00B10FA8"/>
    <w:rsid w:val="00B1167A"/>
    <w:rsid w:val="00B11882"/>
    <w:rsid w:val="00B11E29"/>
    <w:rsid w:val="00B12603"/>
    <w:rsid w:val="00B127BB"/>
    <w:rsid w:val="00B12A8C"/>
    <w:rsid w:val="00B13003"/>
    <w:rsid w:val="00B1308B"/>
    <w:rsid w:val="00B137BE"/>
    <w:rsid w:val="00B13829"/>
    <w:rsid w:val="00B13F1F"/>
    <w:rsid w:val="00B14251"/>
    <w:rsid w:val="00B147CC"/>
    <w:rsid w:val="00B15141"/>
    <w:rsid w:val="00B151C6"/>
    <w:rsid w:val="00B160DC"/>
    <w:rsid w:val="00B16815"/>
    <w:rsid w:val="00B16B5F"/>
    <w:rsid w:val="00B16D08"/>
    <w:rsid w:val="00B1736C"/>
    <w:rsid w:val="00B17744"/>
    <w:rsid w:val="00B17D3E"/>
    <w:rsid w:val="00B20057"/>
    <w:rsid w:val="00B2043A"/>
    <w:rsid w:val="00B20AB0"/>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B4F"/>
    <w:rsid w:val="00B24F49"/>
    <w:rsid w:val="00B25585"/>
    <w:rsid w:val="00B2571D"/>
    <w:rsid w:val="00B25A0E"/>
    <w:rsid w:val="00B25A70"/>
    <w:rsid w:val="00B25BD8"/>
    <w:rsid w:val="00B25E1D"/>
    <w:rsid w:val="00B25F9A"/>
    <w:rsid w:val="00B26085"/>
    <w:rsid w:val="00B2613A"/>
    <w:rsid w:val="00B263BE"/>
    <w:rsid w:val="00B269CE"/>
    <w:rsid w:val="00B2757B"/>
    <w:rsid w:val="00B27701"/>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A44"/>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E22"/>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0F17"/>
    <w:rsid w:val="00B51420"/>
    <w:rsid w:val="00B51526"/>
    <w:rsid w:val="00B517F1"/>
    <w:rsid w:val="00B51A40"/>
    <w:rsid w:val="00B51E19"/>
    <w:rsid w:val="00B5238F"/>
    <w:rsid w:val="00B529A5"/>
    <w:rsid w:val="00B529F2"/>
    <w:rsid w:val="00B52EC8"/>
    <w:rsid w:val="00B5370C"/>
    <w:rsid w:val="00B538FF"/>
    <w:rsid w:val="00B53951"/>
    <w:rsid w:val="00B53EF5"/>
    <w:rsid w:val="00B542BA"/>
    <w:rsid w:val="00B54989"/>
    <w:rsid w:val="00B54CC5"/>
    <w:rsid w:val="00B5505B"/>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9D5"/>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9AE"/>
    <w:rsid w:val="00B64A44"/>
    <w:rsid w:val="00B650F9"/>
    <w:rsid w:val="00B652B0"/>
    <w:rsid w:val="00B65771"/>
    <w:rsid w:val="00B65CF7"/>
    <w:rsid w:val="00B664EC"/>
    <w:rsid w:val="00B66801"/>
    <w:rsid w:val="00B668B4"/>
    <w:rsid w:val="00B66E99"/>
    <w:rsid w:val="00B66FFC"/>
    <w:rsid w:val="00B6796C"/>
    <w:rsid w:val="00B67B2B"/>
    <w:rsid w:val="00B67F89"/>
    <w:rsid w:val="00B7021B"/>
    <w:rsid w:val="00B70333"/>
    <w:rsid w:val="00B70A49"/>
    <w:rsid w:val="00B70EDB"/>
    <w:rsid w:val="00B71319"/>
    <w:rsid w:val="00B71A5D"/>
    <w:rsid w:val="00B71FBB"/>
    <w:rsid w:val="00B7273B"/>
    <w:rsid w:val="00B727B8"/>
    <w:rsid w:val="00B728F3"/>
    <w:rsid w:val="00B73453"/>
    <w:rsid w:val="00B7359C"/>
    <w:rsid w:val="00B737C7"/>
    <w:rsid w:val="00B73BF4"/>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4DED"/>
    <w:rsid w:val="00B84F96"/>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CD2"/>
    <w:rsid w:val="00BA13E0"/>
    <w:rsid w:val="00BA17C4"/>
    <w:rsid w:val="00BA259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81B"/>
    <w:rsid w:val="00BA5C97"/>
    <w:rsid w:val="00BA5EFB"/>
    <w:rsid w:val="00BA659A"/>
    <w:rsid w:val="00BA68C1"/>
    <w:rsid w:val="00BA6A73"/>
    <w:rsid w:val="00BA6D50"/>
    <w:rsid w:val="00BA712E"/>
    <w:rsid w:val="00BA7423"/>
    <w:rsid w:val="00BA7688"/>
    <w:rsid w:val="00BA7A20"/>
    <w:rsid w:val="00BA7D0B"/>
    <w:rsid w:val="00BA7EB0"/>
    <w:rsid w:val="00BB008F"/>
    <w:rsid w:val="00BB0469"/>
    <w:rsid w:val="00BB0528"/>
    <w:rsid w:val="00BB070E"/>
    <w:rsid w:val="00BB0D75"/>
    <w:rsid w:val="00BB1286"/>
    <w:rsid w:val="00BB1C4F"/>
    <w:rsid w:val="00BB20E7"/>
    <w:rsid w:val="00BB225D"/>
    <w:rsid w:val="00BB23C3"/>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BE"/>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6EA6"/>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61E"/>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487"/>
    <w:rsid w:val="00BE2A02"/>
    <w:rsid w:val="00BE2C5A"/>
    <w:rsid w:val="00BE2E99"/>
    <w:rsid w:val="00BE3AFA"/>
    <w:rsid w:val="00BE3F52"/>
    <w:rsid w:val="00BE403F"/>
    <w:rsid w:val="00BE45C1"/>
    <w:rsid w:val="00BE51C7"/>
    <w:rsid w:val="00BE5515"/>
    <w:rsid w:val="00BE5613"/>
    <w:rsid w:val="00BE5813"/>
    <w:rsid w:val="00BE58C4"/>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1DFE"/>
    <w:rsid w:val="00BF2202"/>
    <w:rsid w:val="00BF220D"/>
    <w:rsid w:val="00BF2817"/>
    <w:rsid w:val="00BF2C65"/>
    <w:rsid w:val="00BF2FD7"/>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14"/>
    <w:rsid w:val="00C01DFD"/>
    <w:rsid w:val="00C02192"/>
    <w:rsid w:val="00C0279C"/>
    <w:rsid w:val="00C0291C"/>
    <w:rsid w:val="00C02C95"/>
    <w:rsid w:val="00C02CDE"/>
    <w:rsid w:val="00C036C8"/>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3A"/>
    <w:rsid w:val="00C12EB5"/>
    <w:rsid w:val="00C1328A"/>
    <w:rsid w:val="00C13504"/>
    <w:rsid w:val="00C13AB0"/>
    <w:rsid w:val="00C13C8A"/>
    <w:rsid w:val="00C13F22"/>
    <w:rsid w:val="00C140FE"/>
    <w:rsid w:val="00C14346"/>
    <w:rsid w:val="00C14691"/>
    <w:rsid w:val="00C14EF8"/>
    <w:rsid w:val="00C15135"/>
    <w:rsid w:val="00C1559E"/>
    <w:rsid w:val="00C159ED"/>
    <w:rsid w:val="00C16386"/>
    <w:rsid w:val="00C165C6"/>
    <w:rsid w:val="00C1662C"/>
    <w:rsid w:val="00C16813"/>
    <w:rsid w:val="00C16B16"/>
    <w:rsid w:val="00C17099"/>
    <w:rsid w:val="00C170AE"/>
    <w:rsid w:val="00C172E3"/>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6DB8"/>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BA5"/>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06"/>
    <w:rsid w:val="00C613E1"/>
    <w:rsid w:val="00C619CD"/>
    <w:rsid w:val="00C61B5A"/>
    <w:rsid w:val="00C61BC8"/>
    <w:rsid w:val="00C61D30"/>
    <w:rsid w:val="00C61EE5"/>
    <w:rsid w:val="00C62027"/>
    <w:rsid w:val="00C62997"/>
    <w:rsid w:val="00C63152"/>
    <w:rsid w:val="00C633AB"/>
    <w:rsid w:val="00C6343A"/>
    <w:rsid w:val="00C636B0"/>
    <w:rsid w:val="00C63A93"/>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BD9"/>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6D90"/>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192"/>
    <w:rsid w:val="00C84231"/>
    <w:rsid w:val="00C847C8"/>
    <w:rsid w:val="00C84A83"/>
    <w:rsid w:val="00C84D5A"/>
    <w:rsid w:val="00C84D74"/>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30"/>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294"/>
    <w:rsid w:val="00C95300"/>
    <w:rsid w:val="00C95548"/>
    <w:rsid w:val="00C955F6"/>
    <w:rsid w:val="00C95656"/>
    <w:rsid w:val="00C95730"/>
    <w:rsid w:val="00C95962"/>
    <w:rsid w:val="00C959AA"/>
    <w:rsid w:val="00C95EC0"/>
    <w:rsid w:val="00C963E1"/>
    <w:rsid w:val="00C965AD"/>
    <w:rsid w:val="00C96A24"/>
    <w:rsid w:val="00C96C13"/>
    <w:rsid w:val="00C96D37"/>
    <w:rsid w:val="00C96D71"/>
    <w:rsid w:val="00C96F89"/>
    <w:rsid w:val="00C96FE0"/>
    <w:rsid w:val="00C97572"/>
    <w:rsid w:val="00C9785E"/>
    <w:rsid w:val="00C97AF1"/>
    <w:rsid w:val="00C97D77"/>
    <w:rsid w:val="00CA09AA"/>
    <w:rsid w:val="00CA0FCC"/>
    <w:rsid w:val="00CA114D"/>
    <w:rsid w:val="00CA1225"/>
    <w:rsid w:val="00CA187E"/>
    <w:rsid w:val="00CA18D2"/>
    <w:rsid w:val="00CA2919"/>
    <w:rsid w:val="00CA2C56"/>
    <w:rsid w:val="00CA4556"/>
    <w:rsid w:val="00CA45B7"/>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3DA5"/>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6A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59E2"/>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28E7"/>
    <w:rsid w:val="00CD309B"/>
    <w:rsid w:val="00CD3122"/>
    <w:rsid w:val="00CD325D"/>
    <w:rsid w:val="00CD3372"/>
    <w:rsid w:val="00CD3421"/>
    <w:rsid w:val="00CD3B95"/>
    <w:rsid w:val="00CD3C3B"/>
    <w:rsid w:val="00CD3D0C"/>
    <w:rsid w:val="00CD3D4B"/>
    <w:rsid w:val="00CD3F09"/>
    <w:rsid w:val="00CD3FAF"/>
    <w:rsid w:val="00CD4873"/>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858"/>
    <w:rsid w:val="00CE3257"/>
    <w:rsid w:val="00CE3552"/>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0B9"/>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1A"/>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3EC1"/>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187"/>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6EE5"/>
    <w:rsid w:val="00D572B2"/>
    <w:rsid w:val="00D57A46"/>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8A"/>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5EE"/>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775DA"/>
    <w:rsid w:val="00D800A1"/>
    <w:rsid w:val="00D80184"/>
    <w:rsid w:val="00D8036A"/>
    <w:rsid w:val="00D80451"/>
    <w:rsid w:val="00D80AB8"/>
    <w:rsid w:val="00D80C93"/>
    <w:rsid w:val="00D80CCB"/>
    <w:rsid w:val="00D81307"/>
    <w:rsid w:val="00D81465"/>
    <w:rsid w:val="00D8175B"/>
    <w:rsid w:val="00D817FD"/>
    <w:rsid w:val="00D820F3"/>
    <w:rsid w:val="00D822B5"/>
    <w:rsid w:val="00D829AC"/>
    <w:rsid w:val="00D82AA1"/>
    <w:rsid w:val="00D82B64"/>
    <w:rsid w:val="00D83401"/>
    <w:rsid w:val="00D8382D"/>
    <w:rsid w:val="00D83850"/>
    <w:rsid w:val="00D84268"/>
    <w:rsid w:val="00D84278"/>
    <w:rsid w:val="00D846C5"/>
    <w:rsid w:val="00D847C6"/>
    <w:rsid w:val="00D859A3"/>
    <w:rsid w:val="00D85E85"/>
    <w:rsid w:val="00D86ACF"/>
    <w:rsid w:val="00D86B37"/>
    <w:rsid w:val="00D86EF6"/>
    <w:rsid w:val="00D87154"/>
    <w:rsid w:val="00D874A8"/>
    <w:rsid w:val="00D8778A"/>
    <w:rsid w:val="00D87DAB"/>
    <w:rsid w:val="00D90197"/>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8AC"/>
    <w:rsid w:val="00D94909"/>
    <w:rsid w:val="00D949DC"/>
    <w:rsid w:val="00D94BB0"/>
    <w:rsid w:val="00D94FF3"/>
    <w:rsid w:val="00D95322"/>
    <w:rsid w:val="00D955B0"/>
    <w:rsid w:val="00D957C0"/>
    <w:rsid w:val="00D95BC2"/>
    <w:rsid w:val="00D95BFF"/>
    <w:rsid w:val="00D95F45"/>
    <w:rsid w:val="00D96AD5"/>
    <w:rsid w:val="00D9793D"/>
    <w:rsid w:val="00D97982"/>
    <w:rsid w:val="00D97B21"/>
    <w:rsid w:val="00D97D08"/>
    <w:rsid w:val="00D97E86"/>
    <w:rsid w:val="00DA000D"/>
    <w:rsid w:val="00DA015E"/>
    <w:rsid w:val="00DA02EC"/>
    <w:rsid w:val="00DA0FC0"/>
    <w:rsid w:val="00DA10F6"/>
    <w:rsid w:val="00DA1D80"/>
    <w:rsid w:val="00DA2046"/>
    <w:rsid w:val="00DA2185"/>
    <w:rsid w:val="00DA23D2"/>
    <w:rsid w:val="00DA25CC"/>
    <w:rsid w:val="00DA2771"/>
    <w:rsid w:val="00DA29C4"/>
    <w:rsid w:val="00DA2D90"/>
    <w:rsid w:val="00DA3A26"/>
    <w:rsid w:val="00DA3B43"/>
    <w:rsid w:val="00DA3F00"/>
    <w:rsid w:val="00DA43CA"/>
    <w:rsid w:val="00DA4562"/>
    <w:rsid w:val="00DA492A"/>
    <w:rsid w:val="00DA49D8"/>
    <w:rsid w:val="00DA5665"/>
    <w:rsid w:val="00DA5971"/>
    <w:rsid w:val="00DA5CA9"/>
    <w:rsid w:val="00DA5E7E"/>
    <w:rsid w:val="00DA6DE0"/>
    <w:rsid w:val="00DA714A"/>
    <w:rsid w:val="00DA71AF"/>
    <w:rsid w:val="00DA727D"/>
    <w:rsid w:val="00DA7869"/>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62"/>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35B"/>
    <w:rsid w:val="00DC257F"/>
    <w:rsid w:val="00DC2898"/>
    <w:rsid w:val="00DC28A6"/>
    <w:rsid w:val="00DC28EC"/>
    <w:rsid w:val="00DC3417"/>
    <w:rsid w:val="00DC3965"/>
    <w:rsid w:val="00DC3DE4"/>
    <w:rsid w:val="00DC45B9"/>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6A8"/>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5BB"/>
    <w:rsid w:val="00DD55DB"/>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2D8"/>
    <w:rsid w:val="00E00368"/>
    <w:rsid w:val="00E005F5"/>
    <w:rsid w:val="00E00A07"/>
    <w:rsid w:val="00E00A92"/>
    <w:rsid w:val="00E01395"/>
    <w:rsid w:val="00E01514"/>
    <w:rsid w:val="00E017B1"/>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7C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2FFB"/>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2F93"/>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46B"/>
    <w:rsid w:val="00E515A3"/>
    <w:rsid w:val="00E519B8"/>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121"/>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680"/>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70B"/>
    <w:rsid w:val="00E84934"/>
    <w:rsid w:val="00E84A69"/>
    <w:rsid w:val="00E84B57"/>
    <w:rsid w:val="00E853AC"/>
    <w:rsid w:val="00E85483"/>
    <w:rsid w:val="00E86057"/>
    <w:rsid w:val="00E861F7"/>
    <w:rsid w:val="00E864CA"/>
    <w:rsid w:val="00E86647"/>
    <w:rsid w:val="00E86BF7"/>
    <w:rsid w:val="00E87182"/>
    <w:rsid w:val="00E879F0"/>
    <w:rsid w:val="00E87A97"/>
    <w:rsid w:val="00E87AE6"/>
    <w:rsid w:val="00E87BC7"/>
    <w:rsid w:val="00E901BE"/>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0E"/>
    <w:rsid w:val="00E939E4"/>
    <w:rsid w:val="00E93A7A"/>
    <w:rsid w:val="00E93B3D"/>
    <w:rsid w:val="00E93D80"/>
    <w:rsid w:val="00E94307"/>
    <w:rsid w:val="00E94762"/>
    <w:rsid w:val="00E94E80"/>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5629"/>
    <w:rsid w:val="00EA630B"/>
    <w:rsid w:val="00EA6E29"/>
    <w:rsid w:val="00EA7B1C"/>
    <w:rsid w:val="00EA7CE6"/>
    <w:rsid w:val="00EA7E15"/>
    <w:rsid w:val="00EA7E9E"/>
    <w:rsid w:val="00EA7EF5"/>
    <w:rsid w:val="00EA7F1F"/>
    <w:rsid w:val="00EB05DC"/>
    <w:rsid w:val="00EB10C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71"/>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7F1"/>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4A"/>
    <w:rsid w:val="00EE24B7"/>
    <w:rsid w:val="00EE286B"/>
    <w:rsid w:val="00EE2AAB"/>
    <w:rsid w:val="00EE2BD3"/>
    <w:rsid w:val="00EE2C90"/>
    <w:rsid w:val="00EE3196"/>
    <w:rsid w:val="00EE3203"/>
    <w:rsid w:val="00EE3318"/>
    <w:rsid w:val="00EE33A6"/>
    <w:rsid w:val="00EE3640"/>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F51"/>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37"/>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3C6"/>
    <w:rsid w:val="00F10437"/>
    <w:rsid w:val="00F10465"/>
    <w:rsid w:val="00F10864"/>
    <w:rsid w:val="00F1165E"/>
    <w:rsid w:val="00F11CF5"/>
    <w:rsid w:val="00F12B3D"/>
    <w:rsid w:val="00F12EF0"/>
    <w:rsid w:val="00F13242"/>
    <w:rsid w:val="00F13D72"/>
    <w:rsid w:val="00F1403E"/>
    <w:rsid w:val="00F140FE"/>
    <w:rsid w:val="00F1415B"/>
    <w:rsid w:val="00F14EB1"/>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69D"/>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18E7"/>
    <w:rsid w:val="00F31F17"/>
    <w:rsid w:val="00F3236F"/>
    <w:rsid w:val="00F32374"/>
    <w:rsid w:val="00F32DD1"/>
    <w:rsid w:val="00F32F0E"/>
    <w:rsid w:val="00F32F3E"/>
    <w:rsid w:val="00F33031"/>
    <w:rsid w:val="00F3333E"/>
    <w:rsid w:val="00F3383E"/>
    <w:rsid w:val="00F34148"/>
    <w:rsid w:val="00F34286"/>
    <w:rsid w:val="00F342E5"/>
    <w:rsid w:val="00F34514"/>
    <w:rsid w:val="00F346BC"/>
    <w:rsid w:val="00F34D05"/>
    <w:rsid w:val="00F34D1D"/>
    <w:rsid w:val="00F350F6"/>
    <w:rsid w:val="00F3521B"/>
    <w:rsid w:val="00F35561"/>
    <w:rsid w:val="00F356C0"/>
    <w:rsid w:val="00F35865"/>
    <w:rsid w:val="00F35E92"/>
    <w:rsid w:val="00F360BA"/>
    <w:rsid w:val="00F366CE"/>
    <w:rsid w:val="00F367CE"/>
    <w:rsid w:val="00F369FF"/>
    <w:rsid w:val="00F36BD9"/>
    <w:rsid w:val="00F377A2"/>
    <w:rsid w:val="00F378D3"/>
    <w:rsid w:val="00F37922"/>
    <w:rsid w:val="00F37AEF"/>
    <w:rsid w:val="00F37D8B"/>
    <w:rsid w:val="00F37DC6"/>
    <w:rsid w:val="00F41C41"/>
    <w:rsid w:val="00F41D1F"/>
    <w:rsid w:val="00F41D2D"/>
    <w:rsid w:val="00F42910"/>
    <w:rsid w:val="00F42A6D"/>
    <w:rsid w:val="00F42C2B"/>
    <w:rsid w:val="00F441D2"/>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7A0"/>
    <w:rsid w:val="00F528A1"/>
    <w:rsid w:val="00F52A47"/>
    <w:rsid w:val="00F52A4B"/>
    <w:rsid w:val="00F52C6C"/>
    <w:rsid w:val="00F52E16"/>
    <w:rsid w:val="00F52FA8"/>
    <w:rsid w:val="00F532FD"/>
    <w:rsid w:val="00F53688"/>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09"/>
    <w:rsid w:val="00F62143"/>
    <w:rsid w:val="00F62338"/>
    <w:rsid w:val="00F62377"/>
    <w:rsid w:val="00F62862"/>
    <w:rsid w:val="00F62EAC"/>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0ED"/>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7B3"/>
    <w:rsid w:val="00F71821"/>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50"/>
    <w:rsid w:val="00F802D3"/>
    <w:rsid w:val="00F804C0"/>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2FCF"/>
    <w:rsid w:val="00F83301"/>
    <w:rsid w:val="00F83473"/>
    <w:rsid w:val="00F837DD"/>
    <w:rsid w:val="00F844F0"/>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A5"/>
    <w:rsid w:val="00F902D2"/>
    <w:rsid w:val="00F90391"/>
    <w:rsid w:val="00F9046C"/>
    <w:rsid w:val="00F906F3"/>
    <w:rsid w:val="00F90A4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A7EAA"/>
    <w:rsid w:val="00FB0443"/>
    <w:rsid w:val="00FB0540"/>
    <w:rsid w:val="00FB05C7"/>
    <w:rsid w:val="00FB0F3A"/>
    <w:rsid w:val="00FB1309"/>
    <w:rsid w:val="00FB15C5"/>
    <w:rsid w:val="00FB15D5"/>
    <w:rsid w:val="00FB17BD"/>
    <w:rsid w:val="00FB18E8"/>
    <w:rsid w:val="00FB19D8"/>
    <w:rsid w:val="00FB22E5"/>
    <w:rsid w:val="00FB2363"/>
    <w:rsid w:val="00FB2864"/>
    <w:rsid w:val="00FB2F94"/>
    <w:rsid w:val="00FB3006"/>
    <w:rsid w:val="00FB3210"/>
    <w:rsid w:val="00FB3672"/>
    <w:rsid w:val="00FB3CD6"/>
    <w:rsid w:val="00FB3DC0"/>
    <w:rsid w:val="00FB4044"/>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161F"/>
    <w:rsid w:val="00FD207D"/>
    <w:rsid w:val="00FD235B"/>
    <w:rsid w:val="00FD2804"/>
    <w:rsid w:val="00FD282A"/>
    <w:rsid w:val="00FD2A71"/>
    <w:rsid w:val="00FD3099"/>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0C"/>
    <w:rsid w:val="00FE2B7B"/>
    <w:rsid w:val="00FE2BC0"/>
    <w:rsid w:val="00FE3100"/>
    <w:rsid w:val="00FE31A3"/>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0B5"/>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5EA"/>
    <w:rsid w:val="00FF6CF6"/>
    <w:rsid w:val="00FF70CF"/>
    <w:rsid w:val="00FF72A3"/>
    <w:rsid w:val="00FF74BE"/>
    <w:rsid w:val="00FF78DB"/>
    <w:rsid w:val="00FF79AF"/>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E0AC7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5Dark-Accent51">
    <w:name w:val="Grid Table 5 Dark - Accent 51"/>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5938336">
      <w:bodyDiv w:val="1"/>
      <w:marLeft w:val="0"/>
      <w:marRight w:val="0"/>
      <w:marTop w:val="0"/>
      <w:marBottom w:val="0"/>
      <w:divBdr>
        <w:top w:val="none" w:sz="0" w:space="0" w:color="auto"/>
        <w:left w:val="none" w:sz="0" w:space="0" w:color="auto"/>
        <w:bottom w:val="none" w:sz="0" w:space="0" w:color="auto"/>
        <w:right w:val="none" w:sz="0" w:space="0" w:color="auto"/>
      </w:divBdr>
      <w:divsChild>
        <w:div w:id="420224662">
          <w:marLeft w:val="0"/>
          <w:marRight w:val="0"/>
          <w:marTop w:val="0"/>
          <w:marBottom w:val="0"/>
          <w:divBdr>
            <w:top w:val="none" w:sz="0" w:space="0" w:color="auto"/>
            <w:left w:val="none" w:sz="0" w:space="0" w:color="auto"/>
            <w:bottom w:val="none" w:sz="0" w:space="0" w:color="auto"/>
            <w:right w:val="none" w:sz="0" w:space="0" w:color="auto"/>
          </w:divBdr>
        </w:div>
        <w:div w:id="403990247">
          <w:marLeft w:val="0"/>
          <w:marRight w:val="0"/>
          <w:marTop w:val="0"/>
          <w:marBottom w:val="0"/>
          <w:divBdr>
            <w:top w:val="none" w:sz="0" w:space="0" w:color="auto"/>
            <w:left w:val="none" w:sz="0" w:space="0" w:color="auto"/>
            <w:bottom w:val="none" w:sz="0" w:space="0" w:color="auto"/>
            <w:right w:val="none" w:sz="0" w:space="0" w:color="auto"/>
          </w:divBdr>
          <w:divsChild>
            <w:div w:id="1836409137">
              <w:marLeft w:val="0"/>
              <w:marRight w:val="0"/>
              <w:marTop w:val="0"/>
              <w:marBottom w:val="0"/>
              <w:divBdr>
                <w:top w:val="none" w:sz="0" w:space="0" w:color="auto"/>
                <w:left w:val="none" w:sz="0" w:space="0" w:color="auto"/>
                <w:bottom w:val="none" w:sz="0" w:space="0" w:color="auto"/>
                <w:right w:val="none" w:sz="0" w:space="0" w:color="auto"/>
              </w:divBdr>
            </w:div>
            <w:div w:id="837042029">
              <w:marLeft w:val="0"/>
              <w:marRight w:val="0"/>
              <w:marTop w:val="0"/>
              <w:marBottom w:val="0"/>
              <w:divBdr>
                <w:top w:val="none" w:sz="0" w:space="0" w:color="auto"/>
                <w:left w:val="none" w:sz="0" w:space="0" w:color="auto"/>
                <w:bottom w:val="none" w:sz="0" w:space="0" w:color="auto"/>
                <w:right w:val="none" w:sz="0" w:space="0" w:color="auto"/>
              </w:divBdr>
            </w:div>
            <w:div w:id="1331953968">
              <w:marLeft w:val="0"/>
              <w:marRight w:val="0"/>
              <w:marTop w:val="0"/>
              <w:marBottom w:val="0"/>
              <w:divBdr>
                <w:top w:val="none" w:sz="0" w:space="0" w:color="auto"/>
                <w:left w:val="none" w:sz="0" w:space="0" w:color="auto"/>
                <w:bottom w:val="none" w:sz="0" w:space="0" w:color="auto"/>
                <w:right w:val="none" w:sz="0" w:space="0" w:color="auto"/>
              </w:divBdr>
            </w:div>
            <w:div w:id="362634655">
              <w:marLeft w:val="0"/>
              <w:marRight w:val="0"/>
              <w:marTop w:val="0"/>
              <w:marBottom w:val="0"/>
              <w:divBdr>
                <w:top w:val="none" w:sz="0" w:space="0" w:color="auto"/>
                <w:left w:val="none" w:sz="0" w:space="0" w:color="auto"/>
                <w:bottom w:val="none" w:sz="0" w:space="0" w:color="auto"/>
                <w:right w:val="none" w:sz="0" w:space="0" w:color="auto"/>
              </w:divBdr>
            </w:div>
            <w:div w:id="957687588">
              <w:marLeft w:val="0"/>
              <w:marRight w:val="0"/>
              <w:marTop w:val="0"/>
              <w:marBottom w:val="0"/>
              <w:divBdr>
                <w:top w:val="none" w:sz="0" w:space="0" w:color="auto"/>
                <w:left w:val="none" w:sz="0" w:space="0" w:color="auto"/>
                <w:bottom w:val="none" w:sz="0" w:space="0" w:color="auto"/>
                <w:right w:val="none" w:sz="0" w:space="0" w:color="auto"/>
              </w:divBdr>
            </w:div>
            <w:div w:id="885532592">
              <w:marLeft w:val="0"/>
              <w:marRight w:val="0"/>
              <w:marTop w:val="0"/>
              <w:marBottom w:val="0"/>
              <w:divBdr>
                <w:top w:val="none" w:sz="0" w:space="0" w:color="auto"/>
                <w:left w:val="none" w:sz="0" w:space="0" w:color="auto"/>
                <w:bottom w:val="none" w:sz="0" w:space="0" w:color="auto"/>
                <w:right w:val="none" w:sz="0" w:space="0" w:color="auto"/>
              </w:divBdr>
            </w:div>
            <w:div w:id="810906359">
              <w:marLeft w:val="0"/>
              <w:marRight w:val="0"/>
              <w:marTop w:val="0"/>
              <w:marBottom w:val="0"/>
              <w:divBdr>
                <w:top w:val="none" w:sz="0" w:space="0" w:color="auto"/>
                <w:left w:val="none" w:sz="0" w:space="0" w:color="auto"/>
                <w:bottom w:val="none" w:sz="0" w:space="0" w:color="auto"/>
                <w:right w:val="none" w:sz="0" w:space="0" w:color="auto"/>
              </w:divBdr>
            </w:div>
            <w:div w:id="624165830">
              <w:marLeft w:val="0"/>
              <w:marRight w:val="0"/>
              <w:marTop w:val="0"/>
              <w:marBottom w:val="0"/>
              <w:divBdr>
                <w:top w:val="none" w:sz="0" w:space="0" w:color="auto"/>
                <w:left w:val="none" w:sz="0" w:space="0" w:color="auto"/>
                <w:bottom w:val="none" w:sz="0" w:space="0" w:color="auto"/>
                <w:right w:val="none" w:sz="0" w:space="0" w:color="auto"/>
              </w:divBdr>
            </w:div>
            <w:div w:id="1257668515">
              <w:marLeft w:val="0"/>
              <w:marRight w:val="0"/>
              <w:marTop w:val="0"/>
              <w:marBottom w:val="0"/>
              <w:divBdr>
                <w:top w:val="none" w:sz="0" w:space="0" w:color="auto"/>
                <w:left w:val="none" w:sz="0" w:space="0" w:color="auto"/>
                <w:bottom w:val="none" w:sz="0" w:space="0" w:color="auto"/>
                <w:right w:val="none" w:sz="0" w:space="0" w:color="auto"/>
              </w:divBdr>
            </w:div>
            <w:div w:id="844630176">
              <w:marLeft w:val="0"/>
              <w:marRight w:val="0"/>
              <w:marTop w:val="0"/>
              <w:marBottom w:val="0"/>
              <w:divBdr>
                <w:top w:val="none" w:sz="0" w:space="0" w:color="auto"/>
                <w:left w:val="none" w:sz="0" w:space="0" w:color="auto"/>
                <w:bottom w:val="none" w:sz="0" w:space="0" w:color="auto"/>
                <w:right w:val="none" w:sz="0" w:space="0" w:color="auto"/>
              </w:divBdr>
            </w:div>
            <w:div w:id="1683624075">
              <w:marLeft w:val="0"/>
              <w:marRight w:val="0"/>
              <w:marTop w:val="0"/>
              <w:marBottom w:val="0"/>
              <w:divBdr>
                <w:top w:val="none" w:sz="0" w:space="0" w:color="auto"/>
                <w:left w:val="none" w:sz="0" w:space="0" w:color="auto"/>
                <w:bottom w:val="none" w:sz="0" w:space="0" w:color="auto"/>
                <w:right w:val="none" w:sz="0" w:space="0" w:color="auto"/>
              </w:divBdr>
            </w:div>
            <w:div w:id="604460904">
              <w:marLeft w:val="0"/>
              <w:marRight w:val="0"/>
              <w:marTop w:val="0"/>
              <w:marBottom w:val="0"/>
              <w:divBdr>
                <w:top w:val="none" w:sz="0" w:space="0" w:color="auto"/>
                <w:left w:val="none" w:sz="0" w:space="0" w:color="auto"/>
                <w:bottom w:val="none" w:sz="0" w:space="0" w:color="auto"/>
                <w:right w:val="none" w:sz="0" w:space="0" w:color="auto"/>
              </w:divBdr>
            </w:div>
            <w:div w:id="1512571030">
              <w:marLeft w:val="0"/>
              <w:marRight w:val="0"/>
              <w:marTop w:val="0"/>
              <w:marBottom w:val="0"/>
              <w:divBdr>
                <w:top w:val="none" w:sz="0" w:space="0" w:color="auto"/>
                <w:left w:val="none" w:sz="0" w:space="0" w:color="auto"/>
                <w:bottom w:val="none" w:sz="0" w:space="0" w:color="auto"/>
                <w:right w:val="none" w:sz="0" w:space="0" w:color="auto"/>
              </w:divBdr>
            </w:div>
            <w:div w:id="1947958818">
              <w:marLeft w:val="0"/>
              <w:marRight w:val="0"/>
              <w:marTop w:val="0"/>
              <w:marBottom w:val="0"/>
              <w:divBdr>
                <w:top w:val="none" w:sz="0" w:space="0" w:color="auto"/>
                <w:left w:val="none" w:sz="0" w:space="0" w:color="auto"/>
                <w:bottom w:val="none" w:sz="0" w:space="0" w:color="auto"/>
                <w:right w:val="none" w:sz="0" w:space="0" w:color="auto"/>
              </w:divBdr>
            </w:div>
            <w:div w:id="34035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59817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footer" Target="foot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image" Target="media/image5.emf"/><Relationship Id="rId17" Type="http://schemas.openxmlformats.org/officeDocument/2006/relationships/image" Target="media/image6.emf"/><Relationship Id="rId18" Type="http://schemas.openxmlformats.org/officeDocument/2006/relationships/image" Target="media/image7.emf"/><Relationship Id="rId19" Type="http://schemas.openxmlformats.org/officeDocument/2006/relationships/image" Target="media/image8.e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8158CE66-2264-C94E-B7EB-0DC477DF5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1434</TotalTime>
  <Pages>7</Pages>
  <Words>2634</Words>
  <Characters>15019</Characters>
  <Application>Microsoft Macintosh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50</cp:revision>
  <cp:lastPrinted>2014-11-07T05:38:00Z</cp:lastPrinted>
  <dcterms:created xsi:type="dcterms:W3CDTF">2017-06-07T18:08:00Z</dcterms:created>
  <dcterms:modified xsi:type="dcterms:W3CDTF">2017-06-17T03:51:00Z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